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F712ED" w:rsidRDefault="008A46CC" w:rsidP="002503DE">
      <w:pPr>
        <w:jc w:val="center"/>
        <w:rPr>
          <w:noProof/>
          <w:lang w:val="tr-TR" w:eastAsia="tr-TR" w:bidi="ar-SA"/>
        </w:rPr>
      </w:pPr>
      <w:r>
        <w:rPr>
          <w:noProof/>
          <w:lang w:val="tr-TR" w:eastAsia="tr-TR" w:bidi="ar-SA"/>
        </w:rPr>
        <w:pict>
          <v:rect id="Rectangle 2" o:spid="_x0000_s1026" style="position:absolute;left:0;text-align:left;margin-left:-11.55pt;margin-top:127.3pt;width:532.8pt;height:13.5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RpwIAAJ0FAAAOAAAAZHJzL2Uyb0RvYy54bWysVNFumzAUfZ+0f7D8ToGMkIBKqjaEaVK3&#10;Vev2AQ6YYM3YzHZC2mn/vmsTkiZ9mbbxgC729fE99xzu9c2+5WhHlWZSZDi8CjCiopQVE5sMf/ta&#10;eHOMtCGiIlwKmuEnqvHN4u2b675L6UQ2kldUIQAROu27DDfGdKnv67KhLdFXsqMCNmupWmLgU238&#10;SpEe0FvuT4Ig9nupqk7JkmoNq/mwiRcOv65paT7XtaYG8QxDbca9lXuv7dtfXJN0o0jXsPJQBvmL&#10;KlrCBFx6hMqJIWir2CuolpVKalmbq1K2vqxrVlLHAdiEwQWbx4Z01HGB5uju2Cb9/2DLT7sHhViV&#10;4QgjQVqQ6As0jYgNp2hi29N3OoWsx+5BWYK6u5fld42EXDaQRW+Vkn1DSQVFhTbfPztgPzQcRev+&#10;o6wAnWyNdJ3a16q1gNADtHeCPB0FoXuDSliMZ3E8jUG3EvbCWRhNnWI+ScfTndLmPZUtskGGFdTu&#10;0MnuXhtbDUnHFHuZkAXj3InOxdkCJA4rcDcctXu2CqfhzyRIVvPVPPKiSbzyoiDPvdtiGXlxEc6m&#10;+bt8uczDX/beMEobVlVU2GtGP4XRn+l1cPbghKOjtOSssnC2JK026yVXaEfAz4V7XM9h55Tmn5fh&#10;mgBcLiiFkyi4myReEc9nXlREUy+ZBXMvCJO7JA6iJMqLc0r3TNB/p4R6q7Ljcqr4gljgntfESNoy&#10;A+OCszbD82MSSa3/VqJyuhrC+BC/6IOt/dQH0HpU2bnVGnQwutmv94BiXbuW1RP4VkmwFTgQZhwE&#10;jVTPGPUwLzKsf2yJohjxDwK8b4fLGKgxWI8BESUczbDBaAiXZhhC206xTQPIoeuJkLfwf9TMWfdU&#10;xeGvghngSBzmlR0yL79d1mmqLn4DAAD//wMAUEsDBBQABgAIAAAAIQByCH9J4QAAAAwBAAAPAAAA&#10;ZHJzL2Rvd25yZXYueG1sTI/BToNAEIbvJr7DZky8tQvYkoosjSkh0ZtWL9627AhEdhZ2t4Bv7/Zk&#10;jzPz5Z/vz/eL7tmE1nWGBMTrCBhSbVRHjYDPj2q1A+a8JCV7QyjgFx3si9ubXGbKzPSO09E3LISQ&#10;y6SA1vsh49zVLWrp1mZACrdvY7X0YbQNV1bOIVz3PImilGvZUfjQygEPLdY/x7MWUNpUVe7wUlaP&#10;X3PpX9/GaeSjEPd3y/MTMI+L/4fhoh/UoQhOJ3Mm5VgvYJU8xAEVkGw3KbALEW2SLbBTWO3iFHiR&#10;8+sSxR8AAAD//wMAUEsBAi0AFAAGAAgAAAAhALaDOJL+AAAA4QEAABMAAAAAAAAAAAAAAAAAAAAA&#10;AFtDb250ZW50X1R5cGVzXS54bWxQSwECLQAUAAYACAAAACEAOP0h/9YAAACUAQAACwAAAAAAAAAA&#10;AAAAAAAvAQAAX3JlbHMvLnJlbHNQSwECLQAUAAYACAAAACEAtv0C0acCAACdBQAADgAAAAAAAAAA&#10;AAAAAAAuAgAAZHJzL2Uyb0RvYy54bWxQSwECLQAUAAYACAAAACEAcgh/SeEAAAAMAQAADwAAAAAA&#10;AAAAAAAAAAABBQAAZHJzL2Rvd25yZXYueG1sUEsFBgAAAAAEAAQA8wAAAA8GAAAAAA==&#10;" filled="f" stroked="f" strokeweight="0">
            <v:textbox inset="0,0,0,0">
              <w:txbxContent>
                <w:p w:rsidR="002503DE" w:rsidRPr="002F7F76" w:rsidRDefault="002503DE" w:rsidP="00C7583E">
                  <w:pPr>
                    <w:pBdr>
                      <w:bottom w:val="single" w:sz="4" w:space="1" w:color="auto"/>
                    </w:pBd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00D66A38" w:rsidRPr="00D66A38">
                    <w:rPr>
                      <w:rFonts w:ascii="Arial" w:eastAsia="Times New Roman" w:hAnsi="Arial"/>
                      <w:color w:val="000000"/>
                      <w:sz w:val="17"/>
                      <w:szCs w:val="17"/>
                      <w:lang w:val="tr-TR"/>
                    </w:rPr>
                    <w:t>Bostancı Mahallesi E 80 Yanyol Cd.  No: 2</w:t>
                  </w:r>
                  <w:r w:rsidR="00D66A38">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 34744 Bostancı-Kadıköy-İstanbul Tel: (216) 380 8590 Fax: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v:textbox>
            <w10:wrap anchory="page"/>
          </v:rect>
        </w:pict>
      </w:r>
      <w:r w:rsidR="002503DE" w:rsidRPr="00F712ED">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8"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C7583E" w:rsidRDefault="00C7583E" w:rsidP="002503DE">
      <w:pPr>
        <w:spacing w:before="120" w:after="120" w:line="240" w:lineRule="auto"/>
        <w:ind w:firstLine="567"/>
        <w:jc w:val="right"/>
        <w:rPr>
          <w:rFonts w:ascii="Times New Roman" w:hAnsi="Times New Roman"/>
          <w:b/>
          <w:lang w:val="tr-TR"/>
        </w:rPr>
      </w:pPr>
    </w:p>
    <w:p w:rsidR="00A820A4" w:rsidRPr="008A46CC" w:rsidRDefault="00A820A4" w:rsidP="00CE3E0D">
      <w:pPr>
        <w:spacing w:after="0" w:line="240" w:lineRule="auto"/>
        <w:jc w:val="center"/>
        <w:rPr>
          <w:rStyle w:val="apple-style-span"/>
          <w:rFonts w:ascii="Arial Black" w:hAnsi="Arial Black"/>
          <w:b/>
          <w:color w:val="000000"/>
          <w:sz w:val="24"/>
          <w:szCs w:val="24"/>
          <w:shd w:val="clear" w:color="auto" w:fill="FFFFFF"/>
          <w:lang w:val="tr-TR"/>
        </w:rPr>
      </w:pPr>
      <w:r w:rsidRPr="008A46CC">
        <w:rPr>
          <w:rStyle w:val="apple-style-span"/>
          <w:rFonts w:ascii="Arial Black" w:hAnsi="Arial Black"/>
          <w:b/>
          <w:color w:val="000000"/>
          <w:sz w:val="24"/>
          <w:szCs w:val="24"/>
          <w:shd w:val="clear" w:color="auto" w:fill="FFFFFF"/>
          <w:lang w:val="tr-TR"/>
        </w:rPr>
        <w:t>ENFLASYONUN ADALETİ YOK!</w:t>
      </w:r>
    </w:p>
    <w:p w:rsidR="00A820A4" w:rsidRPr="008A46CC" w:rsidRDefault="00A820A4" w:rsidP="00CE3E0D">
      <w:pPr>
        <w:spacing w:after="0" w:line="240" w:lineRule="auto"/>
        <w:jc w:val="center"/>
        <w:rPr>
          <w:rStyle w:val="apple-style-span"/>
          <w:rFonts w:ascii="Arial Black" w:hAnsi="Arial Black"/>
          <w:b/>
          <w:color w:val="000000"/>
          <w:sz w:val="24"/>
          <w:szCs w:val="24"/>
          <w:shd w:val="clear" w:color="auto" w:fill="FFFFFF"/>
          <w:lang w:val="tr-TR"/>
        </w:rPr>
      </w:pPr>
      <w:r w:rsidRPr="008A46CC">
        <w:rPr>
          <w:rStyle w:val="apple-style-span"/>
          <w:rFonts w:ascii="Arial Black" w:hAnsi="Arial Black"/>
          <w:b/>
          <w:color w:val="000000"/>
          <w:sz w:val="24"/>
          <w:szCs w:val="24"/>
          <w:shd w:val="clear" w:color="auto" w:fill="FFFFFF"/>
          <w:lang w:val="tr-TR"/>
        </w:rPr>
        <w:t>GİZLİ YOKSULLAŞMA % 16’YI BULUYOR!</w:t>
      </w:r>
    </w:p>
    <w:p w:rsidR="00A820A4" w:rsidRPr="008A46CC" w:rsidRDefault="00A820A4" w:rsidP="00CE3E0D">
      <w:pPr>
        <w:spacing w:after="0" w:line="240" w:lineRule="auto"/>
        <w:jc w:val="center"/>
        <w:rPr>
          <w:rStyle w:val="apple-style-span"/>
          <w:rFonts w:ascii="Arial Black" w:hAnsi="Arial Black"/>
          <w:b/>
          <w:color w:val="000000"/>
          <w:sz w:val="24"/>
          <w:szCs w:val="24"/>
          <w:shd w:val="clear" w:color="auto" w:fill="FFFFFF"/>
          <w:lang w:val="tr-TR"/>
        </w:rPr>
      </w:pPr>
    </w:p>
    <w:p w:rsidR="00A820A4" w:rsidRPr="008A46CC" w:rsidRDefault="00A820A4" w:rsidP="00CE3E0D">
      <w:pPr>
        <w:spacing w:after="0" w:line="240" w:lineRule="auto"/>
        <w:jc w:val="center"/>
        <w:rPr>
          <w:rStyle w:val="apple-style-span"/>
          <w:rFonts w:ascii="Arial Narrow" w:hAnsi="Arial Narrow"/>
          <w:b/>
          <w:color w:val="000000"/>
          <w:sz w:val="28"/>
          <w:szCs w:val="28"/>
          <w:shd w:val="clear" w:color="auto" w:fill="FFFFFF"/>
          <w:lang w:val="tr-TR"/>
        </w:rPr>
      </w:pPr>
      <w:r w:rsidRPr="008A46CC">
        <w:rPr>
          <w:rStyle w:val="apple-style-span"/>
          <w:rFonts w:ascii="Arial Narrow" w:hAnsi="Arial Narrow"/>
          <w:b/>
          <w:color w:val="000000"/>
          <w:sz w:val="28"/>
          <w:szCs w:val="28"/>
          <w:shd w:val="clear" w:color="auto" w:fill="FFFFFF"/>
          <w:lang w:val="tr-TR"/>
        </w:rPr>
        <w:t>DİSK Birleşik Metal-İş Sendikası Sınıf Araştırmaları Merkezi</w:t>
      </w:r>
    </w:p>
    <w:p w:rsidR="00A820A4" w:rsidRPr="008A46CC" w:rsidRDefault="00A820A4" w:rsidP="00CE3E0D">
      <w:pPr>
        <w:spacing w:after="0" w:line="240" w:lineRule="auto"/>
        <w:jc w:val="center"/>
        <w:rPr>
          <w:rStyle w:val="apple-style-span"/>
          <w:rFonts w:ascii="Arial Narrow" w:hAnsi="Arial Narrow"/>
          <w:b/>
          <w:color w:val="000000"/>
          <w:sz w:val="28"/>
          <w:szCs w:val="28"/>
          <w:shd w:val="clear" w:color="auto" w:fill="FFFFFF"/>
          <w:lang w:val="tr-TR"/>
        </w:rPr>
      </w:pPr>
      <w:r w:rsidRPr="008A46CC">
        <w:rPr>
          <w:rStyle w:val="apple-style-span"/>
          <w:rFonts w:ascii="Arial Narrow" w:hAnsi="Arial Narrow"/>
          <w:b/>
          <w:color w:val="000000"/>
          <w:sz w:val="28"/>
          <w:szCs w:val="28"/>
          <w:shd w:val="clear" w:color="auto" w:fill="FFFFFF"/>
          <w:lang w:val="tr-TR"/>
        </w:rPr>
        <w:t>Enflasyon ve Yoksulluk Araştırması</w:t>
      </w:r>
    </w:p>
    <w:p w:rsidR="00A820A4" w:rsidRPr="008A46CC" w:rsidRDefault="00A820A4" w:rsidP="00CE3E0D">
      <w:pPr>
        <w:spacing w:after="0" w:line="240" w:lineRule="auto"/>
        <w:jc w:val="center"/>
        <w:rPr>
          <w:rStyle w:val="apple-style-span"/>
          <w:rFonts w:ascii="Arial Narrow" w:hAnsi="Arial Narrow"/>
          <w:b/>
          <w:color w:val="000000"/>
          <w:sz w:val="28"/>
          <w:szCs w:val="28"/>
          <w:shd w:val="clear" w:color="auto" w:fill="FFFFFF"/>
          <w:lang w:val="tr-TR"/>
        </w:rPr>
      </w:pPr>
      <w:r w:rsidRPr="008A46CC">
        <w:rPr>
          <w:rStyle w:val="apple-style-span"/>
          <w:rFonts w:ascii="Arial Narrow" w:hAnsi="Arial Narrow"/>
          <w:b/>
          <w:color w:val="000000"/>
          <w:sz w:val="28"/>
          <w:szCs w:val="28"/>
          <w:shd w:val="clear" w:color="auto" w:fill="FFFFFF"/>
          <w:lang w:val="tr-TR"/>
        </w:rPr>
        <w:t>03/06/2016</w:t>
      </w:r>
    </w:p>
    <w:p w:rsidR="00CE3E0D" w:rsidRDefault="00CE3E0D" w:rsidP="00CE3E0D">
      <w:pPr>
        <w:spacing w:after="0" w:line="240" w:lineRule="auto"/>
        <w:jc w:val="both"/>
        <w:rPr>
          <w:rStyle w:val="apple-style-span"/>
          <w:rFonts w:asciiTheme="majorHAnsi" w:hAnsiTheme="majorHAnsi"/>
          <w:b/>
          <w:color w:val="000000"/>
          <w:sz w:val="24"/>
          <w:szCs w:val="24"/>
          <w:shd w:val="clear" w:color="auto" w:fill="FFFFFF"/>
          <w:lang w:val="tr-TR"/>
        </w:rPr>
      </w:pPr>
    </w:p>
    <w:p w:rsidR="00A820A4" w:rsidRPr="00CE3E0D" w:rsidRDefault="00A820A4" w:rsidP="00CE3E0D">
      <w:pPr>
        <w:spacing w:after="0" w:line="240" w:lineRule="auto"/>
        <w:jc w:val="both"/>
        <w:rPr>
          <w:rStyle w:val="apple-style-span"/>
          <w:rFonts w:asciiTheme="majorHAnsi" w:hAnsiTheme="majorHAnsi"/>
          <w:b/>
          <w:color w:val="000000"/>
          <w:sz w:val="24"/>
          <w:szCs w:val="24"/>
          <w:shd w:val="clear" w:color="auto" w:fill="FFFFFF"/>
          <w:lang w:val="tr-TR"/>
        </w:rPr>
      </w:pPr>
      <w:r w:rsidRPr="00CE3E0D">
        <w:rPr>
          <w:rStyle w:val="apple-style-span"/>
          <w:rFonts w:asciiTheme="majorHAnsi" w:hAnsiTheme="majorHAnsi"/>
          <w:b/>
          <w:color w:val="000000"/>
          <w:sz w:val="24"/>
          <w:szCs w:val="24"/>
          <w:shd w:val="clear" w:color="auto" w:fill="FFFFFF"/>
          <w:lang w:val="tr-TR"/>
        </w:rPr>
        <w:t>GİRİŞ</w:t>
      </w:r>
    </w:p>
    <w:p w:rsidR="00A820A4" w:rsidRPr="00CE3E0D" w:rsidRDefault="00A820A4" w:rsidP="00CE3E0D">
      <w:pPr>
        <w:spacing w:after="0" w:line="240" w:lineRule="auto"/>
        <w:jc w:val="both"/>
        <w:rPr>
          <w:rStyle w:val="apple-converted-space"/>
          <w:rFonts w:asciiTheme="majorHAnsi" w:hAnsiTheme="majorHAnsi"/>
          <w:color w:val="000000"/>
          <w:sz w:val="24"/>
          <w:szCs w:val="24"/>
          <w:shd w:val="clear" w:color="auto" w:fill="FFFFFF"/>
          <w:lang w:val="tr-TR"/>
        </w:rPr>
      </w:pPr>
      <w:r w:rsidRPr="00CE3E0D">
        <w:rPr>
          <w:rStyle w:val="apple-style-span"/>
          <w:rFonts w:asciiTheme="majorHAnsi" w:hAnsiTheme="majorHAnsi"/>
          <w:color w:val="000000"/>
          <w:sz w:val="24"/>
          <w:szCs w:val="24"/>
          <w:shd w:val="clear" w:color="auto" w:fill="FFFFFF"/>
          <w:lang w:val="tr-TR"/>
        </w:rPr>
        <w:t>Enflasyon, fiyatlar genel düzeyinin etkili bir şekilde devamlı yükselmesi nedeniyle paranın sürekli olarak değer kaybetmesi, bunun sonucu olarak da tüketicilerin satın alma gücünü yitirmesi olarak tanımlanmaktadır. Bu tanım çerçevesinde enflasyon çeşitli mal ve hizmetlerin fiyatlarında yaşanan artış veya düşüşlerin ortalama olarak yansımasını temsil etmektedir. Fiyatlardaki eğilimin tespit edilmesi için kullanım yaygınlığı olan çeşitli mal ve hizmetlerde ki değişimler izlenmekte ve fiyat indeksi oluşturulmaktadır. Türkiye’de Türkiye İstatistik Kurumu (TÜİK) tarafından oluşturulmuş Üretici Fiyat Endeksleri ve Tüketici Fiyat Endeksi bulunmaktadır. Bunlardan Tüketici Fiyat Endeksi, fiyat hareketlerinin takibi, ücret ve maaş artışlarının belirlenmesi, hayat pahalılığının ölçülmesi gibi pek çok alanda kullanılmaktadır.</w:t>
      </w:r>
      <w:r w:rsidRPr="00CE3E0D">
        <w:rPr>
          <w:rStyle w:val="apple-converted-space"/>
          <w:rFonts w:asciiTheme="majorHAnsi" w:hAnsiTheme="majorHAnsi"/>
          <w:color w:val="000000"/>
          <w:sz w:val="24"/>
          <w:szCs w:val="24"/>
          <w:shd w:val="clear" w:color="auto" w:fill="FFFFFF"/>
          <w:lang w:val="tr-TR"/>
        </w:rPr>
        <w:t> </w:t>
      </w:r>
    </w:p>
    <w:p w:rsidR="00A820A4" w:rsidRPr="00CE3E0D" w:rsidRDefault="00A820A4" w:rsidP="00CE3E0D">
      <w:pPr>
        <w:spacing w:after="0" w:line="240" w:lineRule="auto"/>
        <w:jc w:val="both"/>
        <w:rPr>
          <w:rStyle w:val="apple-style-span"/>
          <w:rFonts w:asciiTheme="majorHAnsi" w:hAnsiTheme="majorHAnsi"/>
          <w:color w:val="000000"/>
          <w:sz w:val="24"/>
          <w:szCs w:val="24"/>
          <w:shd w:val="clear" w:color="auto" w:fill="FFFFFF"/>
          <w:lang w:val="tr-TR"/>
        </w:rPr>
      </w:pPr>
      <w:r w:rsidRPr="00CE3E0D">
        <w:rPr>
          <w:rStyle w:val="apple-style-span"/>
          <w:rFonts w:asciiTheme="majorHAnsi" w:hAnsiTheme="majorHAnsi"/>
          <w:color w:val="000000"/>
          <w:sz w:val="24"/>
          <w:szCs w:val="24"/>
          <w:shd w:val="clear" w:color="auto" w:fill="FFFFFF"/>
          <w:lang w:val="tr-TR"/>
        </w:rPr>
        <w:t xml:space="preserve">Dolayısı ile enflasyondaki hareketler doğrudan doğruya alım gücüne etki eden bir role sahiptir. Bu çerçevede emekçiler açısından alım gücü iki önemli değişken tarafından belirlenmektedir. Bunlardan birincisi ücret artışlarının enflasyon artışlarını ne ölçüde karşılayıp karşılamadığı, ikincisi ise enflasyon rakamları belirlenirken esas alınan madde sepetinin, zorunlu ve temel ihtiyaçları ne oranda temsil ettiğidir. Ücretlerin artışlarının enflasyondaki artışları karşılayıp karşılamadığı, bu iki verinin karşılaştırması üzerinden tespit edilebilir. Bu yolla reel ücret kayıpları ya da ücret düzeylerinde reel artış ölçülebilir. </w:t>
      </w:r>
    </w:p>
    <w:p w:rsidR="00A820A4" w:rsidRPr="00CE3E0D" w:rsidRDefault="00A820A4" w:rsidP="00CE3E0D">
      <w:pPr>
        <w:spacing w:after="0" w:line="240" w:lineRule="auto"/>
        <w:jc w:val="both"/>
        <w:rPr>
          <w:rStyle w:val="apple-style-span"/>
          <w:rFonts w:asciiTheme="majorHAnsi" w:hAnsiTheme="majorHAnsi"/>
          <w:color w:val="000000"/>
          <w:sz w:val="24"/>
          <w:szCs w:val="24"/>
          <w:shd w:val="clear" w:color="auto" w:fill="FFFFFF"/>
          <w:lang w:val="tr-TR"/>
        </w:rPr>
      </w:pPr>
      <w:r w:rsidRPr="00CE3E0D">
        <w:rPr>
          <w:rStyle w:val="apple-style-span"/>
          <w:rFonts w:asciiTheme="majorHAnsi" w:hAnsiTheme="majorHAnsi"/>
          <w:color w:val="000000"/>
          <w:sz w:val="24"/>
          <w:szCs w:val="24"/>
          <w:shd w:val="clear" w:color="auto" w:fill="FFFFFF"/>
          <w:lang w:val="tr-TR"/>
        </w:rPr>
        <w:t>Ancak, enflasyon sepetini oluşturan madde gruplarının toplumun zorunlu ve temel ihtiyaç maddelerini ne oranda temsil ettiği daha önemli bir konudur. Eğer seçilen madde sepetinde, zorunlu gereksinim duyulan ürünler yanında, toplumun zorunlu gereksinimlerini karşılamayan, teknolojik gelişmeye koşut olarak fiyatları gerileyen ürünlerle, az kişiyi ilgilendirdiği halde parasal olarak ağırlığı ile madde sepetini etkileyen ürünler yer alıyor ve bu ürünlerin varlığı enflasyonu aşağıya çekiyorsa, ya da madde sepetinde ve ağırlıklarda yapılan oynamalar sonucunda enflasyon endeks rakamı geriliyorsa, bu durum istatistiklere yansımayan gizli bir yoksullaştırmanın önünü açar.</w:t>
      </w:r>
    </w:p>
    <w:p w:rsidR="00CE3E0D" w:rsidRDefault="00CE3E0D" w:rsidP="00CE3E0D">
      <w:pPr>
        <w:spacing w:after="0" w:line="240" w:lineRule="auto"/>
        <w:jc w:val="both"/>
        <w:rPr>
          <w:rStyle w:val="apple-style-span"/>
          <w:rFonts w:asciiTheme="majorHAnsi" w:hAnsiTheme="majorHAnsi"/>
          <w:b/>
          <w:color w:val="000000"/>
          <w:sz w:val="24"/>
          <w:szCs w:val="24"/>
          <w:shd w:val="clear" w:color="auto" w:fill="FFFFFF"/>
          <w:lang w:val="tr-TR"/>
        </w:rPr>
      </w:pPr>
    </w:p>
    <w:p w:rsidR="00A820A4" w:rsidRPr="00CE3E0D" w:rsidRDefault="00A820A4" w:rsidP="00CE3E0D">
      <w:pPr>
        <w:spacing w:after="0" w:line="240" w:lineRule="auto"/>
        <w:jc w:val="both"/>
        <w:rPr>
          <w:rStyle w:val="apple-style-span"/>
          <w:rFonts w:asciiTheme="majorHAnsi" w:hAnsiTheme="majorHAnsi"/>
          <w:b/>
          <w:color w:val="000000"/>
          <w:sz w:val="24"/>
          <w:szCs w:val="24"/>
          <w:shd w:val="clear" w:color="auto" w:fill="FFFFFF"/>
          <w:lang w:val="tr-TR"/>
        </w:rPr>
      </w:pPr>
      <w:r w:rsidRPr="00CE3E0D">
        <w:rPr>
          <w:rStyle w:val="apple-style-span"/>
          <w:rFonts w:asciiTheme="majorHAnsi" w:hAnsiTheme="majorHAnsi"/>
          <w:b/>
          <w:color w:val="000000"/>
          <w:sz w:val="24"/>
          <w:szCs w:val="24"/>
          <w:shd w:val="clear" w:color="auto" w:fill="FFFFFF"/>
          <w:lang w:val="tr-TR"/>
        </w:rPr>
        <w:t>TÜFE TÜKETİM HARCAMALARINI YANSITMIYOR</w:t>
      </w:r>
    </w:p>
    <w:p w:rsidR="00A820A4" w:rsidRPr="00CE3E0D" w:rsidRDefault="00A820A4" w:rsidP="00CE3E0D">
      <w:pPr>
        <w:spacing w:after="0" w:line="240" w:lineRule="auto"/>
        <w:jc w:val="both"/>
        <w:rPr>
          <w:rFonts w:asciiTheme="majorHAnsi" w:hAnsiTheme="majorHAnsi"/>
          <w:sz w:val="24"/>
          <w:szCs w:val="24"/>
          <w:lang w:val="tr-TR"/>
        </w:rPr>
      </w:pPr>
      <w:r w:rsidRPr="00CE3E0D">
        <w:rPr>
          <w:rStyle w:val="apple-style-span"/>
          <w:rFonts w:asciiTheme="majorHAnsi" w:hAnsiTheme="majorHAnsi"/>
          <w:color w:val="000000"/>
          <w:sz w:val="24"/>
          <w:szCs w:val="24"/>
          <w:shd w:val="clear" w:color="auto" w:fill="FFFFFF"/>
          <w:lang w:val="tr-TR"/>
        </w:rPr>
        <w:t>Tüketici Fiyat Endeksi, 2003 yılında oluşturulan ve 1994 endeksinin yerini alan, 81 il, 73 ilçede toplanan fiyatlardan oluşan yeni bir endeks ile hesaplanmaya başlanmıştır. Bu endekste yer alacak maddeler,</w:t>
      </w:r>
      <w:r w:rsidRPr="00CE3E0D">
        <w:rPr>
          <w:rFonts w:asciiTheme="majorHAnsi" w:hAnsiTheme="majorHAnsi"/>
          <w:sz w:val="24"/>
          <w:szCs w:val="24"/>
          <w:lang w:val="tr-TR"/>
        </w:rPr>
        <w:t xml:space="preserve"> çok farklı kaynaklardan derlenen veriler dikkate alınarak belirlenmekte, madde sepetinde yer alan ürünler her yıl değiştirilmektedir. Hesaplamada harcamalar içinde payı giderek artan taksitli satışlar, ikinci el ürünlerin satışı ve indirimli ürünler dikkate alınmamaktadır.</w:t>
      </w:r>
    </w:p>
    <w:p w:rsidR="00A820A4" w:rsidRPr="00CE3E0D" w:rsidRDefault="00A820A4" w:rsidP="00CE3E0D">
      <w:pPr>
        <w:spacing w:after="0" w:line="240" w:lineRule="auto"/>
        <w:jc w:val="both"/>
        <w:rPr>
          <w:rFonts w:asciiTheme="majorHAnsi" w:hAnsiTheme="majorHAnsi"/>
          <w:sz w:val="24"/>
          <w:szCs w:val="24"/>
          <w:lang w:val="tr-TR"/>
        </w:rPr>
      </w:pPr>
      <w:r w:rsidRPr="00CE3E0D">
        <w:rPr>
          <w:rFonts w:asciiTheme="majorHAnsi" w:hAnsiTheme="majorHAnsi"/>
          <w:sz w:val="24"/>
          <w:szCs w:val="24"/>
          <w:lang w:val="tr-TR"/>
        </w:rPr>
        <w:t xml:space="preserve">Madde sepetinin her yıl değişiyor olması hesaplamanın niteliği konusunda çeşitli soru işaretlerine neden olmaktadır. </w:t>
      </w:r>
    </w:p>
    <w:p w:rsidR="00A820A4" w:rsidRPr="00CE3E0D" w:rsidRDefault="00A820A4" w:rsidP="00CE3E0D">
      <w:pPr>
        <w:spacing w:after="0" w:line="240" w:lineRule="auto"/>
        <w:jc w:val="both"/>
        <w:rPr>
          <w:rFonts w:asciiTheme="majorHAnsi" w:hAnsiTheme="majorHAnsi"/>
          <w:sz w:val="24"/>
          <w:szCs w:val="24"/>
          <w:lang w:val="tr-TR"/>
        </w:rPr>
      </w:pPr>
      <w:r w:rsidRPr="00CE3E0D">
        <w:rPr>
          <w:rFonts w:asciiTheme="majorHAnsi" w:hAnsiTheme="majorHAnsi"/>
          <w:sz w:val="24"/>
          <w:szCs w:val="24"/>
          <w:lang w:val="tr-TR"/>
        </w:rPr>
        <w:t xml:space="preserve">Farklı tüketim kalıpları üzerinden yaptığımız hesaplamalara göre enflasyon her kesime farklı olarak yansımaktadır. Ancak daha çarpıcı olanı tüketim harcama kalıpları üzerinden yapılan </w:t>
      </w:r>
      <w:r w:rsidRPr="00CE3E0D">
        <w:rPr>
          <w:rFonts w:asciiTheme="majorHAnsi" w:hAnsiTheme="majorHAnsi"/>
          <w:sz w:val="24"/>
          <w:szCs w:val="24"/>
          <w:lang w:val="tr-TR"/>
        </w:rPr>
        <w:lastRenderedPageBreak/>
        <w:t xml:space="preserve">hesaplamalarda çıkan sonuçlar TÜFE rakamlarının üzerindedir. Yani enflasyon tüketim harcamaları üzerinden yapılan hesaplamaların genellikle altında kalmaktadır. </w:t>
      </w:r>
    </w:p>
    <w:p w:rsidR="00A820A4" w:rsidRPr="00CE3E0D" w:rsidRDefault="00A820A4" w:rsidP="00CE3E0D">
      <w:pPr>
        <w:spacing w:after="0" w:line="240" w:lineRule="auto"/>
        <w:jc w:val="both"/>
        <w:rPr>
          <w:rFonts w:asciiTheme="majorHAnsi" w:hAnsiTheme="majorHAnsi"/>
          <w:sz w:val="24"/>
          <w:szCs w:val="24"/>
          <w:lang w:val="tr-TR"/>
        </w:rPr>
      </w:pPr>
      <w:r w:rsidRPr="00CE3E0D">
        <w:rPr>
          <w:rFonts w:asciiTheme="majorHAnsi" w:hAnsiTheme="majorHAnsi"/>
          <w:sz w:val="24"/>
          <w:szCs w:val="24"/>
          <w:lang w:val="tr-TR"/>
        </w:rPr>
        <w:t xml:space="preserve">Son 13 yıllık dönemde işteki duruma göre tüketim kalıpları dikkate alınarak fiyat artışları üzerinden bir hesaplama yapıldığında bu durum çok açık bir biçimde görülmektedir. </w:t>
      </w:r>
    </w:p>
    <w:p w:rsidR="00A820A4" w:rsidRDefault="00A820A4" w:rsidP="00CE3E0D">
      <w:pPr>
        <w:spacing w:after="0" w:line="240" w:lineRule="auto"/>
        <w:jc w:val="both"/>
        <w:rPr>
          <w:rFonts w:asciiTheme="majorHAnsi" w:hAnsiTheme="majorHAnsi"/>
          <w:sz w:val="24"/>
          <w:szCs w:val="24"/>
          <w:lang w:val="tr-TR"/>
        </w:rPr>
      </w:pPr>
      <w:r w:rsidRPr="00CE3E0D">
        <w:rPr>
          <w:rFonts w:asciiTheme="majorHAnsi" w:hAnsiTheme="majorHAnsi"/>
          <w:sz w:val="24"/>
          <w:szCs w:val="24"/>
          <w:lang w:val="tr-TR"/>
        </w:rPr>
        <w:t>Son 13 yılda enflasyon % 178 olarak gerçekleşirken düzenli işlerde çalışan ücretliler için fiyat artışlarının etkisi % 200 olmuştur. Bu oran gündelik (yevmiyeli) çalışanlar için % 213 gibi bir rakama ulaşmaktadır. Mesleğe göre bakıldığında nitelik gerektirmeyen işlerde çalışanlar % 209’luk fiyat artışları ile enflasyon hesaplamasından en çok etkilenen kesim olmaktadır. Temel gelir kaynağına göre baktığımızda ise sosyal yardımlarla geçinenlerin harcamaları % 212’lik fiyat artışları ile karşılaşmışlardır. Temel gelir kaynağı ücret olanlar için bu oran % 200’dür.</w:t>
      </w:r>
    </w:p>
    <w:p w:rsidR="008A46CC" w:rsidRPr="00CE3E0D" w:rsidRDefault="008A46CC" w:rsidP="00CE3E0D">
      <w:pPr>
        <w:spacing w:after="0" w:line="240" w:lineRule="auto"/>
        <w:jc w:val="both"/>
        <w:rPr>
          <w:rFonts w:asciiTheme="majorHAnsi" w:hAnsiTheme="majorHAnsi"/>
          <w:sz w:val="24"/>
          <w:szCs w:val="24"/>
          <w:lang w:val="tr-TR"/>
        </w:rPr>
      </w:pPr>
    </w:p>
    <w:p w:rsidR="00A820A4" w:rsidRPr="008A46CC" w:rsidRDefault="00A820A4" w:rsidP="00CE3E0D">
      <w:pPr>
        <w:spacing w:after="0" w:line="240" w:lineRule="auto"/>
        <w:jc w:val="both"/>
        <w:rPr>
          <w:rFonts w:asciiTheme="majorHAnsi" w:hAnsiTheme="majorHAnsi"/>
          <w:b/>
          <w:i/>
          <w:sz w:val="24"/>
          <w:szCs w:val="24"/>
          <w:lang w:val="tr-TR"/>
        </w:rPr>
      </w:pPr>
      <w:r w:rsidRPr="008A46CC">
        <w:rPr>
          <w:rFonts w:asciiTheme="majorHAnsi" w:hAnsiTheme="majorHAnsi"/>
          <w:b/>
          <w:i/>
          <w:sz w:val="24"/>
          <w:szCs w:val="24"/>
          <w:lang w:val="tr-TR"/>
        </w:rPr>
        <w:t>Grafik 1- İşteki duruma göre enflasyon (Mayıs 2003-Mayıs 2016)</w:t>
      </w:r>
    </w:p>
    <w:p w:rsidR="00CE3E0D" w:rsidRPr="00CE3E0D" w:rsidRDefault="00CE3E0D" w:rsidP="00CE3E0D">
      <w:pPr>
        <w:spacing w:after="0" w:line="240" w:lineRule="auto"/>
        <w:jc w:val="both"/>
        <w:rPr>
          <w:rFonts w:asciiTheme="majorHAnsi" w:hAnsiTheme="majorHAnsi"/>
          <w:sz w:val="24"/>
          <w:szCs w:val="24"/>
          <w:lang w:val="tr-TR"/>
        </w:rPr>
      </w:pPr>
    </w:p>
    <w:p w:rsidR="00A820A4" w:rsidRPr="00CE3E0D" w:rsidRDefault="00A820A4" w:rsidP="00CE3E0D">
      <w:pPr>
        <w:spacing w:after="0" w:line="240" w:lineRule="auto"/>
        <w:jc w:val="both"/>
        <w:rPr>
          <w:rFonts w:asciiTheme="majorHAnsi" w:hAnsiTheme="majorHAnsi"/>
          <w:sz w:val="24"/>
          <w:szCs w:val="24"/>
          <w:lang w:val="tr-TR"/>
        </w:rPr>
      </w:pPr>
      <w:r w:rsidRPr="00CE3E0D">
        <w:rPr>
          <w:rFonts w:asciiTheme="majorHAnsi" w:hAnsiTheme="majorHAnsi"/>
          <w:noProof/>
          <w:sz w:val="24"/>
          <w:szCs w:val="24"/>
          <w:lang w:val="tr-TR" w:eastAsia="tr-TR" w:bidi="ar-SA"/>
        </w:rPr>
        <w:drawing>
          <wp:inline distT="0" distB="0" distL="0" distR="0">
            <wp:extent cx="4572000" cy="2743200"/>
            <wp:effectExtent l="19050" t="0" r="19050" b="0"/>
            <wp:docPr id="2"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E3E0D" w:rsidRDefault="00CE3E0D" w:rsidP="00CE3E0D">
      <w:pPr>
        <w:spacing w:after="0" w:line="240" w:lineRule="auto"/>
        <w:jc w:val="both"/>
        <w:rPr>
          <w:rFonts w:asciiTheme="majorHAnsi" w:hAnsiTheme="majorHAnsi"/>
          <w:sz w:val="24"/>
          <w:szCs w:val="24"/>
          <w:lang w:val="tr-TR"/>
        </w:rPr>
      </w:pPr>
    </w:p>
    <w:p w:rsidR="00A820A4" w:rsidRPr="00CE3E0D" w:rsidRDefault="00A820A4" w:rsidP="00CE3E0D">
      <w:pPr>
        <w:spacing w:after="0" w:line="240" w:lineRule="auto"/>
        <w:jc w:val="both"/>
        <w:rPr>
          <w:rFonts w:asciiTheme="majorHAnsi" w:hAnsiTheme="majorHAnsi"/>
          <w:sz w:val="24"/>
          <w:szCs w:val="24"/>
          <w:lang w:val="tr-TR"/>
        </w:rPr>
      </w:pPr>
      <w:r w:rsidRPr="00CE3E0D">
        <w:rPr>
          <w:rFonts w:asciiTheme="majorHAnsi" w:hAnsiTheme="majorHAnsi"/>
          <w:sz w:val="24"/>
          <w:szCs w:val="24"/>
          <w:lang w:val="tr-TR"/>
        </w:rPr>
        <w:t>Gelir gruplarına göre enflasyon rakamlarına baktığımızda ise en yoksul kesim enflasyon hesaplamasından en çok etkilenen gruptur. En yoksul için fiyat artışlarının etkisi % 207 olurken, en zengin için bu oran % 196 olmuştur.</w:t>
      </w:r>
    </w:p>
    <w:p w:rsidR="00A820A4" w:rsidRDefault="00A820A4" w:rsidP="00CE3E0D">
      <w:pPr>
        <w:spacing w:after="0" w:line="240" w:lineRule="auto"/>
        <w:jc w:val="both"/>
        <w:rPr>
          <w:rFonts w:asciiTheme="majorHAnsi" w:hAnsiTheme="majorHAnsi"/>
          <w:sz w:val="24"/>
          <w:szCs w:val="24"/>
          <w:lang w:val="tr-TR"/>
        </w:rPr>
      </w:pPr>
      <w:r w:rsidRPr="00CE3E0D">
        <w:rPr>
          <w:rFonts w:asciiTheme="majorHAnsi" w:hAnsiTheme="majorHAnsi"/>
          <w:sz w:val="24"/>
          <w:szCs w:val="24"/>
          <w:lang w:val="tr-TR"/>
        </w:rPr>
        <w:t xml:space="preserve">Son bir yıllık dönemde de harcama kalıbına göre yaptığımız hesaplama genel endeksin üzerindedir. TÜFE endeksi mayıs ayında bir önceki yılın mayıs ayına göre % 6,6 artarken bu oran düzenli işlerde çalışanlar için % 7,4, yevmiyeli çalışanlarda % 7 olarak gerçekleşmiştir. Gıda fiyatlarında madde ağırlıkları nedeniyle yaşanan düşüşe rağmen, gıda harcamalarının toplam harcamalardaki payının yüksek olduğu kesimlerde enflasyonun üzerinde artışların gerçekleşmesi düşündürücü ve irdelenmeye muhtaç konulardır. </w:t>
      </w:r>
    </w:p>
    <w:p w:rsidR="00CE3E0D" w:rsidRPr="00CE3E0D" w:rsidRDefault="00CE3E0D" w:rsidP="00CE3E0D">
      <w:pPr>
        <w:spacing w:after="0" w:line="240" w:lineRule="auto"/>
        <w:jc w:val="both"/>
        <w:rPr>
          <w:rFonts w:asciiTheme="majorHAnsi" w:hAnsiTheme="majorHAnsi"/>
          <w:sz w:val="24"/>
          <w:szCs w:val="24"/>
          <w:lang w:val="tr-TR"/>
        </w:rPr>
      </w:pPr>
    </w:p>
    <w:p w:rsidR="00CE3E0D" w:rsidRDefault="00CE3E0D" w:rsidP="00CE3E0D">
      <w:pPr>
        <w:spacing w:after="0" w:line="240" w:lineRule="auto"/>
        <w:jc w:val="both"/>
        <w:rPr>
          <w:rFonts w:asciiTheme="majorHAnsi" w:hAnsiTheme="majorHAnsi"/>
          <w:sz w:val="24"/>
          <w:szCs w:val="24"/>
          <w:lang w:val="tr-TR"/>
        </w:rPr>
      </w:pPr>
    </w:p>
    <w:p w:rsidR="00CE3E0D" w:rsidRDefault="00CE3E0D" w:rsidP="00CE3E0D">
      <w:pPr>
        <w:spacing w:after="0" w:line="240" w:lineRule="auto"/>
        <w:jc w:val="both"/>
        <w:rPr>
          <w:rFonts w:asciiTheme="majorHAnsi" w:hAnsiTheme="majorHAnsi"/>
          <w:sz w:val="24"/>
          <w:szCs w:val="24"/>
          <w:lang w:val="tr-TR"/>
        </w:rPr>
      </w:pPr>
    </w:p>
    <w:p w:rsidR="00CE3E0D" w:rsidRDefault="00CE3E0D" w:rsidP="00CE3E0D">
      <w:pPr>
        <w:spacing w:after="0" w:line="240" w:lineRule="auto"/>
        <w:jc w:val="both"/>
        <w:rPr>
          <w:rFonts w:asciiTheme="majorHAnsi" w:hAnsiTheme="majorHAnsi"/>
          <w:sz w:val="24"/>
          <w:szCs w:val="24"/>
          <w:lang w:val="tr-TR"/>
        </w:rPr>
      </w:pPr>
    </w:p>
    <w:p w:rsidR="00CE3E0D" w:rsidRDefault="00CE3E0D" w:rsidP="00CE3E0D">
      <w:pPr>
        <w:spacing w:after="0" w:line="240" w:lineRule="auto"/>
        <w:jc w:val="both"/>
        <w:rPr>
          <w:rFonts w:asciiTheme="majorHAnsi" w:hAnsiTheme="majorHAnsi"/>
          <w:sz w:val="24"/>
          <w:szCs w:val="24"/>
          <w:lang w:val="tr-TR"/>
        </w:rPr>
      </w:pPr>
    </w:p>
    <w:p w:rsidR="00CE3E0D" w:rsidRDefault="00CE3E0D" w:rsidP="00CE3E0D">
      <w:pPr>
        <w:spacing w:after="0" w:line="240" w:lineRule="auto"/>
        <w:jc w:val="both"/>
        <w:rPr>
          <w:rFonts w:asciiTheme="majorHAnsi" w:hAnsiTheme="majorHAnsi"/>
          <w:sz w:val="24"/>
          <w:szCs w:val="24"/>
          <w:lang w:val="tr-TR"/>
        </w:rPr>
      </w:pPr>
    </w:p>
    <w:p w:rsidR="00CE3E0D" w:rsidRDefault="00CE3E0D" w:rsidP="00CE3E0D">
      <w:pPr>
        <w:spacing w:after="0" w:line="240" w:lineRule="auto"/>
        <w:jc w:val="both"/>
        <w:rPr>
          <w:rFonts w:asciiTheme="majorHAnsi" w:hAnsiTheme="majorHAnsi"/>
          <w:sz w:val="24"/>
          <w:szCs w:val="24"/>
          <w:lang w:val="tr-TR"/>
        </w:rPr>
      </w:pPr>
    </w:p>
    <w:p w:rsidR="00CE3E0D" w:rsidRDefault="00CE3E0D" w:rsidP="00CE3E0D">
      <w:pPr>
        <w:spacing w:after="0" w:line="240" w:lineRule="auto"/>
        <w:jc w:val="both"/>
        <w:rPr>
          <w:rFonts w:asciiTheme="majorHAnsi" w:hAnsiTheme="majorHAnsi"/>
          <w:sz w:val="24"/>
          <w:szCs w:val="24"/>
          <w:lang w:val="tr-TR"/>
        </w:rPr>
      </w:pPr>
    </w:p>
    <w:p w:rsidR="00CE3E0D" w:rsidRDefault="00CE3E0D" w:rsidP="00CE3E0D">
      <w:pPr>
        <w:spacing w:after="0" w:line="240" w:lineRule="auto"/>
        <w:jc w:val="both"/>
        <w:rPr>
          <w:rFonts w:asciiTheme="majorHAnsi" w:hAnsiTheme="majorHAnsi"/>
          <w:sz w:val="24"/>
          <w:szCs w:val="24"/>
          <w:lang w:val="tr-TR"/>
        </w:rPr>
      </w:pPr>
    </w:p>
    <w:p w:rsidR="00CE3E0D" w:rsidRDefault="00CE3E0D" w:rsidP="00CE3E0D">
      <w:pPr>
        <w:spacing w:after="0" w:line="240" w:lineRule="auto"/>
        <w:jc w:val="both"/>
        <w:rPr>
          <w:rFonts w:asciiTheme="majorHAnsi" w:hAnsiTheme="majorHAnsi"/>
          <w:sz w:val="24"/>
          <w:szCs w:val="24"/>
          <w:lang w:val="tr-TR"/>
        </w:rPr>
      </w:pPr>
    </w:p>
    <w:p w:rsidR="00CE3E0D" w:rsidRDefault="00CE3E0D" w:rsidP="00CE3E0D">
      <w:pPr>
        <w:spacing w:after="0" w:line="240" w:lineRule="auto"/>
        <w:jc w:val="both"/>
        <w:rPr>
          <w:rFonts w:asciiTheme="majorHAnsi" w:hAnsiTheme="majorHAnsi"/>
          <w:sz w:val="24"/>
          <w:szCs w:val="24"/>
          <w:lang w:val="tr-TR"/>
        </w:rPr>
      </w:pPr>
    </w:p>
    <w:p w:rsidR="00CE3E0D" w:rsidRDefault="00CE3E0D" w:rsidP="00CE3E0D">
      <w:pPr>
        <w:spacing w:after="0" w:line="240" w:lineRule="auto"/>
        <w:jc w:val="both"/>
        <w:rPr>
          <w:rFonts w:asciiTheme="majorHAnsi" w:hAnsiTheme="majorHAnsi"/>
          <w:sz w:val="24"/>
          <w:szCs w:val="24"/>
          <w:lang w:val="tr-TR"/>
        </w:rPr>
      </w:pPr>
    </w:p>
    <w:p w:rsidR="00CE3E0D" w:rsidRDefault="00CE3E0D" w:rsidP="00CE3E0D">
      <w:pPr>
        <w:spacing w:after="0" w:line="240" w:lineRule="auto"/>
        <w:jc w:val="both"/>
        <w:rPr>
          <w:rFonts w:asciiTheme="majorHAnsi" w:hAnsiTheme="majorHAnsi"/>
          <w:sz w:val="24"/>
          <w:szCs w:val="24"/>
          <w:lang w:val="tr-TR"/>
        </w:rPr>
      </w:pPr>
    </w:p>
    <w:p w:rsidR="00CE3E0D" w:rsidRDefault="00CE3E0D" w:rsidP="00CE3E0D">
      <w:pPr>
        <w:spacing w:after="0" w:line="240" w:lineRule="auto"/>
        <w:jc w:val="both"/>
        <w:rPr>
          <w:rFonts w:asciiTheme="majorHAnsi" w:hAnsiTheme="majorHAnsi"/>
          <w:sz w:val="24"/>
          <w:szCs w:val="24"/>
          <w:lang w:val="tr-TR"/>
        </w:rPr>
      </w:pPr>
    </w:p>
    <w:p w:rsidR="00CE3E0D" w:rsidRDefault="00CE3E0D" w:rsidP="00CE3E0D">
      <w:pPr>
        <w:spacing w:after="0" w:line="240" w:lineRule="auto"/>
        <w:jc w:val="both"/>
        <w:rPr>
          <w:rFonts w:asciiTheme="majorHAnsi" w:hAnsiTheme="majorHAnsi"/>
          <w:sz w:val="24"/>
          <w:szCs w:val="24"/>
          <w:lang w:val="tr-TR"/>
        </w:rPr>
      </w:pPr>
    </w:p>
    <w:p w:rsidR="00CE3E0D" w:rsidRDefault="00CE3E0D" w:rsidP="00CE3E0D">
      <w:pPr>
        <w:spacing w:after="0" w:line="240" w:lineRule="auto"/>
        <w:jc w:val="both"/>
        <w:rPr>
          <w:rFonts w:asciiTheme="majorHAnsi" w:hAnsiTheme="majorHAnsi"/>
          <w:sz w:val="24"/>
          <w:szCs w:val="24"/>
          <w:lang w:val="tr-TR"/>
        </w:rPr>
      </w:pPr>
    </w:p>
    <w:p w:rsidR="00A820A4" w:rsidRPr="008A46CC" w:rsidRDefault="00A820A4" w:rsidP="00CE3E0D">
      <w:pPr>
        <w:spacing w:after="0" w:line="240" w:lineRule="auto"/>
        <w:jc w:val="both"/>
        <w:rPr>
          <w:rFonts w:asciiTheme="majorHAnsi" w:hAnsiTheme="majorHAnsi"/>
          <w:b/>
          <w:i/>
          <w:sz w:val="24"/>
          <w:szCs w:val="24"/>
          <w:lang w:val="tr-TR"/>
        </w:rPr>
      </w:pPr>
      <w:r w:rsidRPr="008A46CC">
        <w:rPr>
          <w:rFonts w:asciiTheme="majorHAnsi" w:hAnsiTheme="majorHAnsi"/>
          <w:b/>
          <w:i/>
          <w:sz w:val="24"/>
          <w:szCs w:val="24"/>
          <w:lang w:val="tr-TR"/>
        </w:rPr>
        <w:t>Grafik 2- İşteki duruma göre enflasyon (Mayıs 2015-Mayıs 2016)</w:t>
      </w:r>
    </w:p>
    <w:p w:rsidR="00A820A4" w:rsidRPr="00CE3E0D" w:rsidRDefault="00A820A4" w:rsidP="00CE3E0D">
      <w:pPr>
        <w:spacing w:after="0" w:line="240" w:lineRule="auto"/>
        <w:jc w:val="both"/>
        <w:rPr>
          <w:rFonts w:asciiTheme="majorHAnsi" w:hAnsiTheme="majorHAnsi"/>
          <w:sz w:val="24"/>
          <w:szCs w:val="24"/>
          <w:lang w:val="tr-TR"/>
        </w:rPr>
      </w:pPr>
      <w:r w:rsidRPr="00CE3E0D">
        <w:rPr>
          <w:rFonts w:asciiTheme="majorHAnsi" w:hAnsiTheme="majorHAnsi"/>
          <w:noProof/>
          <w:sz w:val="24"/>
          <w:szCs w:val="24"/>
          <w:lang w:val="tr-TR" w:eastAsia="tr-TR" w:bidi="ar-SA"/>
        </w:rPr>
        <w:drawing>
          <wp:inline distT="0" distB="0" distL="0" distR="0">
            <wp:extent cx="4572000" cy="2743200"/>
            <wp:effectExtent l="19050" t="0" r="19050" b="0"/>
            <wp:docPr id="4"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E3E0D" w:rsidRDefault="00CE3E0D" w:rsidP="00CE3E0D">
      <w:pPr>
        <w:spacing w:after="0" w:line="240" w:lineRule="auto"/>
        <w:jc w:val="both"/>
        <w:rPr>
          <w:rFonts w:asciiTheme="majorHAnsi" w:hAnsiTheme="majorHAnsi"/>
          <w:sz w:val="24"/>
          <w:szCs w:val="24"/>
          <w:lang w:val="tr-TR"/>
        </w:rPr>
      </w:pPr>
    </w:p>
    <w:p w:rsidR="00A820A4" w:rsidRPr="00CE3E0D" w:rsidRDefault="00A820A4" w:rsidP="00CE3E0D">
      <w:pPr>
        <w:spacing w:after="0" w:line="240" w:lineRule="auto"/>
        <w:jc w:val="both"/>
        <w:rPr>
          <w:rFonts w:asciiTheme="majorHAnsi" w:hAnsiTheme="majorHAnsi"/>
          <w:sz w:val="24"/>
          <w:szCs w:val="24"/>
          <w:lang w:val="tr-TR"/>
        </w:rPr>
      </w:pPr>
      <w:r w:rsidRPr="00CE3E0D">
        <w:rPr>
          <w:rFonts w:asciiTheme="majorHAnsi" w:hAnsiTheme="majorHAnsi"/>
          <w:sz w:val="24"/>
          <w:szCs w:val="24"/>
          <w:lang w:val="tr-TR"/>
        </w:rPr>
        <w:t>Yıllık enflasyondan en çok etkilenen meslek grubu % 7,7 ile profesyonel meslek grupları ve yöneticiler, % 7,3 ile hizmet ve satış elemanları olmuştur.</w:t>
      </w:r>
    </w:p>
    <w:p w:rsidR="008A46CC" w:rsidRDefault="008A46CC" w:rsidP="00CE3E0D">
      <w:pPr>
        <w:spacing w:after="0" w:line="240" w:lineRule="auto"/>
        <w:jc w:val="both"/>
        <w:rPr>
          <w:rFonts w:asciiTheme="majorHAnsi" w:hAnsiTheme="majorHAnsi"/>
          <w:sz w:val="24"/>
          <w:szCs w:val="24"/>
          <w:lang w:val="tr-TR"/>
        </w:rPr>
      </w:pPr>
    </w:p>
    <w:p w:rsidR="00A820A4" w:rsidRPr="008A46CC" w:rsidRDefault="00A820A4" w:rsidP="00CE3E0D">
      <w:pPr>
        <w:spacing w:after="0" w:line="240" w:lineRule="auto"/>
        <w:jc w:val="both"/>
        <w:rPr>
          <w:rFonts w:asciiTheme="majorHAnsi" w:hAnsiTheme="majorHAnsi"/>
          <w:b/>
          <w:i/>
          <w:sz w:val="24"/>
          <w:szCs w:val="24"/>
          <w:lang w:val="tr-TR"/>
        </w:rPr>
      </w:pPr>
      <w:r w:rsidRPr="008A46CC">
        <w:rPr>
          <w:rFonts w:asciiTheme="majorHAnsi" w:hAnsiTheme="majorHAnsi"/>
          <w:b/>
          <w:i/>
          <w:sz w:val="24"/>
          <w:szCs w:val="24"/>
          <w:lang w:val="tr-TR"/>
        </w:rPr>
        <w:t>Grafik 3- Meslek gruplarına göre enflasyon (Mayıs 2003-Mayıs 2016)</w:t>
      </w:r>
    </w:p>
    <w:p w:rsidR="00CE3E0D" w:rsidRPr="00CE3E0D" w:rsidRDefault="00CE3E0D" w:rsidP="00CE3E0D">
      <w:pPr>
        <w:spacing w:after="0" w:line="240" w:lineRule="auto"/>
        <w:jc w:val="both"/>
        <w:rPr>
          <w:rFonts w:asciiTheme="majorHAnsi" w:hAnsiTheme="majorHAnsi"/>
          <w:sz w:val="24"/>
          <w:szCs w:val="24"/>
          <w:lang w:val="tr-TR"/>
        </w:rPr>
      </w:pPr>
    </w:p>
    <w:p w:rsidR="00A820A4" w:rsidRPr="00CE3E0D" w:rsidRDefault="00A820A4" w:rsidP="00CE3E0D">
      <w:pPr>
        <w:spacing w:after="0" w:line="240" w:lineRule="auto"/>
        <w:jc w:val="both"/>
        <w:rPr>
          <w:rFonts w:asciiTheme="majorHAnsi" w:hAnsiTheme="majorHAnsi"/>
          <w:sz w:val="24"/>
          <w:szCs w:val="24"/>
          <w:lang w:val="tr-TR"/>
        </w:rPr>
      </w:pPr>
      <w:r w:rsidRPr="00CE3E0D">
        <w:rPr>
          <w:rFonts w:asciiTheme="majorHAnsi" w:hAnsiTheme="majorHAnsi"/>
          <w:noProof/>
          <w:sz w:val="24"/>
          <w:szCs w:val="24"/>
          <w:lang w:val="tr-TR" w:eastAsia="tr-TR" w:bidi="ar-SA"/>
        </w:rPr>
        <w:drawing>
          <wp:inline distT="0" distB="0" distL="0" distR="0">
            <wp:extent cx="5619750" cy="2743200"/>
            <wp:effectExtent l="19050" t="0" r="19050" b="0"/>
            <wp:docPr id="12"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E3E0D" w:rsidRDefault="00CE3E0D" w:rsidP="00CE3E0D">
      <w:pPr>
        <w:spacing w:after="0" w:line="240" w:lineRule="auto"/>
        <w:jc w:val="both"/>
        <w:rPr>
          <w:rFonts w:asciiTheme="majorHAnsi" w:hAnsiTheme="majorHAnsi"/>
          <w:sz w:val="24"/>
          <w:szCs w:val="24"/>
          <w:lang w:val="tr-TR"/>
        </w:rPr>
      </w:pPr>
    </w:p>
    <w:p w:rsidR="00A820A4" w:rsidRPr="00CE3E0D" w:rsidRDefault="00A820A4" w:rsidP="00CE3E0D">
      <w:pPr>
        <w:spacing w:after="0" w:line="240" w:lineRule="auto"/>
        <w:jc w:val="both"/>
        <w:rPr>
          <w:rFonts w:asciiTheme="majorHAnsi" w:hAnsiTheme="majorHAnsi"/>
          <w:sz w:val="24"/>
          <w:szCs w:val="24"/>
          <w:lang w:val="tr-TR"/>
        </w:rPr>
      </w:pPr>
      <w:r w:rsidRPr="00CE3E0D">
        <w:rPr>
          <w:rFonts w:asciiTheme="majorHAnsi" w:hAnsiTheme="majorHAnsi"/>
          <w:sz w:val="24"/>
          <w:szCs w:val="24"/>
          <w:lang w:val="tr-TR"/>
        </w:rPr>
        <w:t xml:space="preserve">Enflasyon oranı ile farklı özelliklere sahip gelir gruplarının enflasyonları arasındaki fark gizli bir yoksulluğa neden olmaktadır.  </w:t>
      </w:r>
    </w:p>
    <w:p w:rsidR="00CE3E0D" w:rsidRDefault="00CE3E0D" w:rsidP="00CE3E0D">
      <w:pPr>
        <w:spacing w:after="0" w:line="240" w:lineRule="auto"/>
        <w:jc w:val="both"/>
        <w:rPr>
          <w:rFonts w:asciiTheme="majorHAnsi" w:hAnsiTheme="majorHAnsi"/>
          <w:b/>
          <w:sz w:val="24"/>
          <w:szCs w:val="24"/>
          <w:lang w:val="tr-TR"/>
        </w:rPr>
      </w:pPr>
    </w:p>
    <w:p w:rsidR="00A820A4" w:rsidRPr="00CE3E0D" w:rsidRDefault="00A820A4" w:rsidP="00CE3E0D">
      <w:pPr>
        <w:spacing w:after="0" w:line="240" w:lineRule="auto"/>
        <w:jc w:val="both"/>
        <w:rPr>
          <w:rFonts w:asciiTheme="majorHAnsi" w:hAnsiTheme="majorHAnsi"/>
          <w:b/>
          <w:sz w:val="24"/>
          <w:szCs w:val="24"/>
          <w:lang w:val="tr-TR"/>
        </w:rPr>
      </w:pPr>
      <w:r w:rsidRPr="00CE3E0D">
        <w:rPr>
          <w:rFonts w:asciiTheme="majorHAnsi" w:hAnsiTheme="majorHAnsi"/>
          <w:b/>
          <w:sz w:val="24"/>
          <w:szCs w:val="24"/>
          <w:lang w:val="tr-TR"/>
        </w:rPr>
        <w:t xml:space="preserve"> GİZLİ YOKSULLAŞMA</w:t>
      </w:r>
    </w:p>
    <w:p w:rsidR="00A820A4" w:rsidRPr="00CE3E0D" w:rsidRDefault="00A820A4" w:rsidP="00CE3E0D">
      <w:pPr>
        <w:spacing w:after="0" w:line="240" w:lineRule="auto"/>
        <w:jc w:val="both"/>
        <w:rPr>
          <w:rFonts w:asciiTheme="majorHAnsi" w:hAnsiTheme="majorHAnsi"/>
          <w:sz w:val="24"/>
          <w:szCs w:val="24"/>
          <w:lang w:val="tr-TR"/>
        </w:rPr>
      </w:pPr>
      <w:r w:rsidRPr="00CE3E0D">
        <w:rPr>
          <w:rFonts w:asciiTheme="majorHAnsi" w:hAnsiTheme="majorHAnsi"/>
          <w:sz w:val="24"/>
          <w:szCs w:val="24"/>
          <w:lang w:val="tr-TR"/>
        </w:rPr>
        <w:t>Kişinin kendi yaptığı harcama kalemlerindeki fiyat artışları (enflasyonu) ile resmi Tüketici Fiyat Endeksi arasındaki fark istatistiklere yansımayan bir yoksullaşmaya neden olmaktadır. Ücret ve maaş hesaplamalarında resmi istatistiklerin kullanılıyor olması bu durumu yaratmaktadır.</w:t>
      </w:r>
    </w:p>
    <w:p w:rsidR="00A820A4" w:rsidRPr="00CE3E0D" w:rsidRDefault="00A820A4" w:rsidP="00CE3E0D">
      <w:pPr>
        <w:spacing w:after="0" w:line="240" w:lineRule="auto"/>
        <w:jc w:val="both"/>
        <w:rPr>
          <w:rFonts w:asciiTheme="majorHAnsi" w:hAnsiTheme="majorHAnsi"/>
          <w:sz w:val="24"/>
          <w:szCs w:val="24"/>
          <w:lang w:val="tr-TR"/>
        </w:rPr>
      </w:pPr>
      <w:r w:rsidRPr="00CE3E0D">
        <w:rPr>
          <w:rFonts w:asciiTheme="majorHAnsi" w:hAnsiTheme="majorHAnsi"/>
          <w:sz w:val="24"/>
          <w:szCs w:val="24"/>
          <w:lang w:val="tr-TR"/>
        </w:rPr>
        <w:t>Tablo 1’de görüldüğü gibi farklı gruplara göre enflasyon ile genel enflasyon (TÜFE) arasındaki farkın yol açtığı reel kayıp, ya da gizli yoksu</w:t>
      </w:r>
      <w:r w:rsidR="00CB037D">
        <w:rPr>
          <w:rFonts w:asciiTheme="majorHAnsi" w:hAnsiTheme="majorHAnsi"/>
          <w:sz w:val="24"/>
          <w:szCs w:val="24"/>
          <w:lang w:val="tr-TR"/>
        </w:rPr>
        <w:t>l</w:t>
      </w:r>
      <w:r w:rsidRPr="00CE3E0D">
        <w:rPr>
          <w:rFonts w:asciiTheme="majorHAnsi" w:hAnsiTheme="majorHAnsi"/>
          <w:sz w:val="24"/>
          <w:szCs w:val="24"/>
          <w:lang w:val="tr-TR"/>
        </w:rPr>
        <w:t>laşma oranı % 16,4’ü bulmaktadır.</w:t>
      </w:r>
    </w:p>
    <w:p w:rsidR="00A820A4" w:rsidRPr="00CE3E0D" w:rsidRDefault="00A820A4" w:rsidP="00CE3E0D">
      <w:pPr>
        <w:spacing w:after="0" w:line="240" w:lineRule="auto"/>
        <w:jc w:val="both"/>
        <w:rPr>
          <w:rFonts w:asciiTheme="majorHAnsi" w:hAnsiTheme="majorHAnsi"/>
          <w:sz w:val="24"/>
          <w:szCs w:val="24"/>
          <w:lang w:val="tr-TR"/>
        </w:rPr>
      </w:pPr>
      <w:r w:rsidRPr="00CE3E0D">
        <w:rPr>
          <w:rFonts w:asciiTheme="majorHAnsi" w:hAnsiTheme="majorHAnsi"/>
          <w:sz w:val="24"/>
          <w:szCs w:val="24"/>
          <w:lang w:val="tr-TR"/>
        </w:rPr>
        <w:t xml:space="preserve">Buna göre en ciddi yoksullaşma % 16,4 ile yevmiyeli (gündelik) çalışanlarda görülmektedir. Bu grubu % 16’lık gizli yoksullaşma ile diğer transfer gelirleri ile (sosyal yardımlar vb.) yaşamını idame ettirmeye çalışanlar takip etmektedir. </w:t>
      </w:r>
    </w:p>
    <w:p w:rsidR="00CE3E0D" w:rsidRDefault="00CE3E0D" w:rsidP="00CE3E0D">
      <w:pPr>
        <w:spacing w:after="0" w:line="240" w:lineRule="auto"/>
        <w:jc w:val="both"/>
        <w:rPr>
          <w:rFonts w:asciiTheme="majorHAnsi" w:hAnsiTheme="majorHAnsi"/>
          <w:sz w:val="24"/>
          <w:szCs w:val="24"/>
          <w:lang w:val="tr-TR"/>
        </w:rPr>
      </w:pPr>
    </w:p>
    <w:p w:rsidR="00CE3E0D" w:rsidRDefault="00CE3E0D" w:rsidP="00CE3E0D">
      <w:pPr>
        <w:spacing w:after="0" w:line="240" w:lineRule="auto"/>
        <w:jc w:val="both"/>
        <w:rPr>
          <w:rFonts w:asciiTheme="majorHAnsi" w:hAnsiTheme="majorHAnsi"/>
          <w:sz w:val="24"/>
          <w:szCs w:val="24"/>
          <w:lang w:val="tr-TR"/>
        </w:rPr>
      </w:pPr>
    </w:p>
    <w:p w:rsidR="00A820A4" w:rsidRPr="008A46CC" w:rsidRDefault="00A820A4" w:rsidP="00CE3E0D">
      <w:pPr>
        <w:spacing w:after="0" w:line="240" w:lineRule="auto"/>
        <w:jc w:val="both"/>
        <w:rPr>
          <w:rFonts w:asciiTheme="majorHAnsi" w:hAnsiTheme="majorHAnsi"/>
          <w:b/>
          <w:i/>
          <w:sz w:val="24"/>
          <w:szCs w:val="24"/>
          <w:lang w:val="tr-TR"/>
        </w:rPr>
      </w:pPr>
      <w:r w:rsidRPr="008A46CC">
        <w:rPr>
          <w:rFonts w:asciiTheme="majorHAnsi" w:hAnsiTheme="majorHAnsi"/>
          <w:b/>
          <w:i/>
          <w:sz w:val="24"/>
          <w:szCs w:val="24"/>
          <w:lang w:val="tr-TR"/>
        </w:rPr>
        <w:t>Tablo 1- Farklı gruplara göre gizli yoksullaşma oranları (%) 2003 Mayıs-2016 Mayıs dönemi</w:t>
      </w:r>
    </w:p>
    <w:tbl>
      <w:tblPr>
        <w:tblW w:w="7820" w:type="dxa"/>
        <w:tblInd w:w="65" w:type="dxa"/>
        <w:tblCellMar>
          <w:left w:w="70" w:type="dxa"/>
          <w:right w:w="70" w:type="dxa"/>
        </w:tblCellMar>
        <w:tblLook w:val="04A0" w:firstRow="1" w:lastRow="0" w:firstColumn="1" w:lastColumn="0" w:noHBand="0" w:noVBand="1"/>
      </w:tblPr>
      <w:tblGrid>
        <w:gridCol w:w="6540"/>
        <w:gridCol w:w="1434"/>
      </w:tblGrid>
      <w:tr w:rsidR="00A820A4" w:rsidRPr="00CE3E0D" w:rsidTr="00FB10DF">
        <w:trPr>
          <w:trHeight w:val="765"/>
        </w:trPr>
        <w:tc>
          <w:tcPr>
            <w:tcW w:w="6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İŞTEKİ DURUMA GÖRE</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Gizli Yoksullaşma Oranı</w:t>
            </w:r>
          </w:p>
        </w:tc>
      </w:tr>
      <w:tr w:rsidR="00A820A4" w:rsidRPr="00CE3E0D" w:rsidTr="00FB10DF">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 xml:space="preserve"> (Düzenli Ücretli Çalışanlar)</w:t>
            </w:r>
          </w:p>
        </w:tc>
        <w:tc>
          <w:tcPr>
            <w:tcW w:w="1280" w:type="dxa"/>
            <w:tcBorders>
              <w:top w:val="nil"/>
              <w:left w:val="nil"/>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10,9%</w:t>
            </w:r>
          </w:p>
        </w:tc>
      </w:tr>
      <w:tr w:rsidR="00A820A4" w:rsidRPr="00CE3E0D" w:rsidTr="00FB10DF">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 xml:space="preserve"> (İşverenler)</w:t>
            </w:r>
          </w:p>
        </w:tc>
        <w:tc>
          <w:tcPr>
            <w:tcW w:w="1280" w:type="dxa"/>
            <w:tcBorders>
              <w:top w:val="nil"/>
              <w:left w:val="nil"/>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9,3%</w:t>
            </w:r>
          </w:p>
        </w:tc>
      </w:tr>
      <w:tr w:rsidR="00A820A4" w:rsidRPr="00CE3E0D" w:rsidTr="00FB10DF">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 xml:space="preserve"> (Kendi Hesabına Çalışanlar)</w:t>
            </w:r>
          </w:p>
        </w:tc>
        <w:tc>
          <w:tcPr>
            <w:tcW w:w="1280" w:type="dxa"/>
            <w:tcBorders>
              <w:top w:val="nil"/>
              <w:left w:val="nil"/>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9,4%</w:t>
            </w:r>
          </w:p>
        </w:tc>
      </w:tr>
      <w:tr w:rsidR="00A820A4" w:rsidRPr="00CE3E0D" w:rsidTr="00FB10DF">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 xml:space="preserve"> (Ücretsiz Aile Çalışanları)</w:t>
            </w:r>
          </w:p>
        </w:tc>
        <w:tc>
          <w:tcPr>
            <w:tcW w:w="1280" w:type="dxa"/>
            <w:tcBorders>
              <w:top w:val="nil"/>
              <w:left w:val="nil"/>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7,4%</w:t>
            </w:r>
          </w:p>
        </w:tc>
      </w:tr>
      <w:tr w:rsidR="00A820A4" w:rsidRPr="00CE3E0D" w:rsidTr="00FB10DF">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 xml:space="preserve"> (Yevmiyeli (Gündelik) Çalışanlar)</w:t>
            </w:r>
          </w:p>
        </w:tc>
        <w:tc>
          <w:tcPr>
            <w:tcW w:w="1280" w:type="dxa"/>
            <w:tcBorders>
              <w:top w:val="nil"/>
              <w:left w:val="nil"/>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16,4%</w:t>
            </w:r>
          </w:p>
        </w:tc>
      </w:tr>
      <w:tr w:rsidR="00A820A4" w:rsidRPr="00CE3E0D" w:rsidTr="00FB10DF">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 xml:space="preserve"> (Çalışmayanlar)</w:t>
            </w:r>
          </w:p>
        </w:tc>
        <w:tc>
          <w:tcPr>
            <w:tcW w:w="1280" w:type="dxa"/>
            <w:tcBorders>
              <w:top w:val="nil"/>
              <w:left w:val="nil"/>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13,6%</w:t>
            </w:r>
          </w:p>
        </w:tc>
      </w:tr>
      <w:tr w:rsidR="00A820A4" w:rsidRPr="00CE3E0D" w:rsidTr="00FB10DF">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MESLEĞE GÖRE</w:t>
            </w:r>
          </w:p>
        </w:tc>
        <w:tc>
          <w:tcPr>
            <w:tcW w:w="1280" w:type="dxa"/>
            <w:tcBorders>
              <w:top w:val="nil"/>
              <w:left w:val="nil"/>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 </w:t>
            </w:r>
          </w:p>
        </w:tc>
      </w:tr>
      <w:tr w:rsidR="00A820A4" w:rsidRPr="00CE3E0D" w:rsidTr="00FB10DF">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 xml:space="preserve"> (Büro Hizmetlerinde Çalışan Elemanlar)</w:t>
            </w:r>
          </w:p>
        </w:tc>
        <w:tc>
          <w:tcPr>
            <w:tcW w:w="1280" w:type="dxa"/>
            <w:tcBorders>
              <w:top w:val="nil"/>
              <w:left w:val="nil"/>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11,9%</w:t>
            </w:r>
          </w:p>
        </w:tc>
      </w:tr>
      <w:tr w:rsidR="00A820A4" w:rsidRPr="00CE3E0D" w:rsidTr="00FB10DF">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 xml:space="preserve"> (Çalışmayanlar)</w:t>
            </w:r>
          </w:p>
        </w:tc>
        <w:tc>
          <w:tcPr>
            <w:tcW w:w="1280" w:type="dxa"/>
            <w:tcBorders>
              <w:top w:val="nil"/>
              <w:left w:val="nil"/>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13,6%</w:t>
            </w:r>
          </w:p>
        </w:tc>
      </w:tr>
      <w:tr w:rsidR="00A820A4" w:rsidRPr="00CE3E0D" w:rsidTr="00FB10DF">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 xml:space="preserve"> (Hizmet Ve Satış Elemanları)</w:t>
            </w:r>
          </w:p>
        </w:tc>
        <w:tc>
          <w:tcPr>
            <w:tcW w:w="1280" w:type="dxa"/>
            <w:tcBorders>
              <w:top w:val="nil"/>
              <w:left w:val="nil"/>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11,4%</w:t>
            </w:r>
          </w:p>
        </w:tc>
      </w:tr>
      <w:tr w:rsidR="00A820A4" w:rsidRPr="00CE3E0D" w:rsidTr="00FB10DF">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 xml:space="preserve"> (Nitelik Gerektirmeyen İşlerde Çalışanlar)</w:t>
            </w:r>
          </w:p>
        </w:tc>
        <w:tc>
          <w:tcPr>
            <w:tcW w:w="1280" w:type="dxa"/>
            <w:tcBorders>
              <w:top w:val="nil"/>
              <w:left w:val="nil"/>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14,9%</w:t>
            </w:r>
          </w:p>
        </w:tc>
      </w:tr>
      <w:tr w:rsidR="00A820A4" w:rsidRPr="00CE3E0D" w:rsidTr="00FB10DF">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 xml:space="preserve"> (Nitelikli Tarım, Ormancılık Ve Su Ürünleri Çalışanları)</w:t>
            </w:r>
          </w:p>
        </w:tc>
        <w:tc>
          <w:tcPr>
            <w:tcW w:w="1280" w:type="dxa"/>
            <w:tcBorders>
              <w:top w:val="nil"/>
              <w:left w:val="nil"/>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8,6%</w:t>
            </w:r>
          </w:p>
        </w:tc>
      </w:tr>
      <w:tr w:rsidR="00A820A4" w:rsidRPr="00CE3E0D" w:rsidTr="00FB10DF">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 xml:space="preserve"> (Profesyonel Meslek Mensupları)</w:t>
            </w:r>
          </w:p>
        </w:tc>
        <w:tc>
          <w:tcPr>
            <w:tcW w:w="1280" w:type="dxa"/>
            <w:tcBorders>
              <w:top w:val="nil"/>
              <w:left w:val="nil"/>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7,0%</w:t>
            </w:r>
          </w:p>
        </w:tc>
      </w:tr>
      <w:tr w:rsidR="00A820A4" w:rsidRPr="00CE3E0D" w:rsidTr="00FB10DF">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 xml:space="preserve"> (Sanatkarlar Ve İlgili İşlerde Çalışanlar)</w:t>
            </w:r>
          </w:p>
        </w:tc>
        <w:tc>
          <w:tcPr>
            <w:tcW w:w="1280" w:type="dxa"/>
            <w:tcBorders>
              <w:top w:val="nil"/>
              <w:left w:val="nil"/>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12,0%</w:t>
            </w:r>
          </w:p>
        </w:tc>
      </w:tr>
      <w:tr w:rsidR="00A820A4" w:rsidRPr="00CE3E0D" w:rsidTr="00FB10DF">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 xml:space="preserve"> (Teknisyenler, Teknikerler Ve Yardımcı Profesyonel Meslek Mensupları)</w:t>
            </w:r>
          </w:p>
        </w:tc>
        <w:tc>
          <w:tcPr>
            <w:tcW w:w="1280" w:type="dxa"/>
            <w:tcBorders>
              <w:top w:val="nil"/>
              <w:left w:val="nil"/>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9,8%</w:t>
            </w:r>
          </w:p>
        </w:tc>
      </w:tr>
      <w:tr w:rsidR="00A820A4" w:rsidRPr="00CE3E0D" w:rsidTr="00FB10DF">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 xml:space="preserve"> (Tesis Ve Makine Operatörleri Ve Montajcılar)</w:t>
            </w:r>
          </w:p>
        </w:tc>
        <w:tc>
          <w:tcPr>
            <w:tcW w:w="1280" w:type="dxa"/>
            <w:tcBorders>
              <w:top w:val="nil"/>
              <w:left w:val="nil"/>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14,5%</w:t>
            </w:r>
          </w:p>
        </w:tc>
      </w:tr>
      <w:tr w:rsidR="00A820A4" w:rsidRPr="00CE3E0D" w:rsidTr="00FB10DF">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 xml:space="preserve"> (Yöneticiler)</w:t>
            </w:r>
          </w:p>
        </w:tc>
        <w:tc>
          <w:tcPr>
            <w:tcW w:w="1280" w:type="dxa"/>
            <w:tcBorders>
              <w:top w:val="nil"/>
              <w:left w:val="nil"/>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9,5%</w:t>
            </w:r>
          </w:p>
        </w:tc>
      </w:tr>
      <w:tr w:rsidR="00A820A4" w:rsidRPr="00CE3E0D" w:rsidTr="00FB10DF">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TEMEL GELİR KAYNAĞINA GÖRE</w:t>
            </w:r>
          </w:p>
        </w:tc>
        <w:tc>
          <w:tcPr>
            <w:tcW w:w="1280" w:type="dxa"/>
            <w:tcBorders>
              <w:top w:val="nil"/>
              <w:left w:val="nil"/>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 </w:t>
            </w:r>
          </w:p>
        </w:tc>
      </w:tr>
      <w:tr w:rsidR="00A820A4" w:rsidRPr="00CE3E0D" w:rsidTr="00FB10DF">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Ücret, yevmiye</w:t>
            </w:r>
          </w:p>
        </w:tc>
        <w:tc>
          <w:tcPr>
            <w:tcW w:w="1280" w:type="dxa"/>
            <w:tcBorders>
              <w:top w:val="nil"/>
              <w:left w:val="nil"/>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11,1%</w:t>
            </w:r>
          </w:p>
        </w:tc>
      </w:tr>
      <w:tr w:rsidR="00A820A4" w:rsidRPr="00CE3E0D" w:rsidTr="00FB10DF">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Mütesebbis Geliri</w:t>
            </w:r>
          </w:p>
        </w:tc>
        <w:tc>
          <w:tcPr>
            <w:tcW w:w="1280" w:type="dxa"/>
            <w:tcBorders>
              <w:top w:val="nil"/>
              <w:left w:val="nil"/>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9,8%</w:t>
            </w:r>
          </w:p>
        </w:tc>
      </w:tr>
      <w:tr w:rsidR="00A820A4" w:rsidRPr="00CE3E0D" w:rsidTr="00FB10DF">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Emekli aylığı</w:t>
            </w:r>
          </w:p>
        </w:tc>
        <w:tc>
          <w:tcPr>
            <w:tcW w:w="1280" w:type="dxa"/>
            <w:tcBorders>
              <w:top w:val="nil"/>
              <w:left w:val="nil"/>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12,8%</w:t>
            </w:r>
          </w:p>
        </w:tc>
      </w:tr>
      <w:tr w:rsidR="00A820A4" w:rsidRPr="00CE3E0D" w:rsidTr="00FB10DF">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Diğer Transferler</w:t>
            </w:r>
          </w:p>
        </w:tc>
        <w:tc>
          <w:tcPr>
            <w:tcW w:w="1280" w:type="dxa"/>
            <w:tcBorders>
              <w:top w:val="nil"/>
              <w:left w:val="nil"/>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16,0%</w:t>
            </w:r>
          </w:p>
        </w:tc>
      </w:tr>
      <w:tr w:rsidR="00A820A4" w:rsidRPr="00CE3E0D" w:rsidTr="00FB10DF">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Gayrimenkul Kira Geliri Ve Menkul Kıymet Faiz Geliri</w:t>
            </w:r>
          </w:p>
        </w:tc>
        <w:tc>
          <w:tcPr>
            <w:tcW w:w="1280" w:type="dxa"/>
            <w:tcBorders>
              <w:top w:val="nil"/>
              <w:left w:val="nil"/>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14,9%</w:t>
            </w:r>
          </w:p>
        </w:tc>
      </w:tr>
      <w:tr w:rsidR="00A820A4" w:rsidRPr="00CE3E0D" w:rsidTr="00FB10DF">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GELİR GRUPLARINA GÖRE</w:t>
            </w:r>
          </w:p>
        </w:tc>
        <w:tc>
          <w:tcPr>
            <w:tcW w:w="1280" w:type="dxa"/>
            <w:tcBorders>
              <w:top w:val="nil"/>
              <w:left w:val="nil"/>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 </w:t>
            </w:r>
          </w:p>
        </w:tc>
      </w:tr>
      <w:tr w:rsidR="00A820A4" w:rsidRPr="00CE3E0D" w:rsidTr="00FB10DF">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1. Yüzde 20 En Yoksul</w:t>
            </w:r>
          </w:p>
        </w:tc>
        <w:tc>
          <w:tcPr>
            <w:tcW w:w="1280" w:type="dxa"/>
            <w:tcBorders>
              <w:top w:val="nil"/>
              <w:left w:val="nil"/>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14,2%</w:t>
            </w:r>
          </w:p>
        </w:tc>
      </w:tr>
      <w:tr w:rsidR="00A820A4" w:rsidRPr="00CE3E0D" w:rsidTr="00FB10DF">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2. Yüzde 20</w:t>
            </w:r>
          </w:p>
        </w:tc>
        <w:tc>
          <w:tcPr>
            <w:tcW w:w="1280" w:type="dxa"/>
            <w:tcBorders>
              <w:top w:val="nil"/>
              <w:left w:val="nil"/>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13,0%</w:t>
            </w:r>
          </w:p>
        </w:tc>
      </w:tr>
      <w:tr w:rsidR="00A820A4" w:rsidRPr="00CE3E0D" w:rsidTr="00FB10DF">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3. Yüzde 20</w:t>
            </w:r>
          </w:p>
        </w:tc>
        <w:tc>
          <w:tcPr>
            <w:tcW w:w="1280" w:type="dxa"/>
            <w:tcBorders>
              <w:top w:val="nil"/>
              <w:left w:val="nil"/>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13,2%</w:t>
            </w:r>
          </w:p>
        </w:tc>
      </w:tr>
      <w:tr w:rsidR="00A820A4" w:rsidRPr="00CE3E0D" w:rsidTr="00FB10DF">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4. Yüzde 20</w:t>
            </w:r>
          </w:p>
        </w:tc>
        <w:tc>
          <w:tcPr>
            <w:tcW w:w="1280" w:type="dxa"/>
            <w:tcBorders>
              <w:top w:val="nil"/>
              <w:left w:val="nil"/>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13,2%</w:t>
            </w:r>
          </w:p>
        </w:tc>
      </w:tr>
      <w:tr w:rsidR="00A820A4" w:rsidRPr="00CE3E0D" w:rsidTr="00FB10DF">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5. Yüzde 20 En Zengin</w:t>
            </w:r>
          </w:p>
        </w:tc>
        <w:tc>
          <w:tcPr>
            <w:tcW w:w="1280" w:type="dxa"/>
            <w:tcBorders>
              <w:top w:val="nil"/>
              <w:left w:val="nil"/>
              <w:bottom w:val="single" w:sz="4" w:space="0" w:color="auto"/>
              <w:right w:val="single" w:sz="4" w:space="0" w:color="auto"/>
            </w:tcBorders>
            <w:shd w:val="clear" w:color="auto" w:fill="auto"/>
            <w:noWrap/>
            <w:vAlign w:val="bottom"/>
            <w:hideMark/>
          </w:tcPr>
          <w:p w:rsidR="00A820A4" w:rsidRPr="00CE3E0D" w:rsidRDefault="00A820A4" w:rsidP="00CE3E0D">
            <w:pPr>
              <w:spacing w:after="0" w:line="240" w:lineRule="auto"/>
              <w:rPr>
                <w:rFonts w:asciiTheme="majorHAnsi" w:eastAsia="Times New Roman" w:hAnsiTheme="majorHAnsi" w:cs="Arial"/>
                <w:sz w:val="24"/>
                <w:szCs w:val="24"/>
                <w:lang w:val="tr-TR" w:eastAsia="tr-TR"/>
              </w:rPr>
            </w:pPr>
            <w:r w:rsidRPr="00CE3E0D">
              <w:rPr>
                <w:rFonts w:asciiTheme="majorHAnsi" w:eastAsia="Times New Roman" w:hAnsiTheme="majorHAnsi" w:cs="Arial"/>
                <w:sz w:val="24"/>
                <w:szCs w:val="24"/>
                <w:lang w:val="tr-TR" w:eastAsia="tr-TR"/>
              </w:rPr>
              <w:t>9,2%</w:t>
            </w:r>
          </w:p>
        </w:tc>
      </w:tr>
    </w:tbl>
    <w:p w:rsidR="00CE3E0D" w:rsidRDefault="00CE3E0D" w:rsidP="00CE3E0D">
      <w:pPr>
        <w:spacing w:after="0" w:line="240" w:lineRule="auto"/>
        <w:jc w:val="both"/>
        <w:rPr>
          <w:rFonts w:asciiTheme="majorHAnsi" w:hAnsiTheme="majorHAnsi"/>
          <w:sz w:val="24"/>
          <w:szCs w:val="24"/>
          <w:lang w:val="tr-TR"/>
        </w:rPr>
      </w:pPr>
    </w:p>
    <w:p w:rsidR="00A820A4" w:rsidRPr="00CE3E0D" w:rsidRDefault="00A820A4" w:rsidP="00CE3E0D">
      <w:pPr>
        <w:spacing w:after="0" w:line="240" w:lineRule="auto"/>
        <w:jc w:val="both"/>
        <w:rPr>
          <w:rFonts w:asciiTheme="majorHAnsi" w:hAnsiTheme="majorHAnsi"/>
          <w:sz w:val="24"/>
          <w:szCs w:val="24"/>
          <w:lang w:val="tr-TR"/>
        </w:rPr>
      </w:pPr>
      <w:r w:rsidRPr="00CE3E0D">
        <w:rPr>
          <w:rFonts w:asciiTheme="majorHAnsi" w:hAnsiTheme="majorHAnsi"/>
          <w:sz w:val="24"/>
          <w:szCs w:val="24"/>
          <w:lang w:val="tr-TR"/>
        </w:rPr>
        <w:t xml:space="preserve">Gizli yoksullaşma TÜİK Tüketim Harcamaları İstatistikleri 2014 verilerine göre farklı grupların madde gruplarına yaptıkları harcamaların madde fiyat endeksleri ile çarpılması sonucu bulunan grup enflasyon artış oranlarının, TÜİK TÜFE artış oranlarına bölünmesi sonucu elde edilmektedir.     </w:t>
      </w:r>
    </w:p>
    <w:p w:rsidR="00CE3E0D" w:rsidRDefault="00CE3E0D" w:rsidP="00CE3E0D">
      <w:pPr>
        <w:spacing w:after="0" w:line="240" w:lineRule="auto"/>
        <w:jc w:val="both"/>
        <w:rPr>
          <w:rFonts w:asciiTheme="majorHAnsi" w:hAnsiTheme="majorHAnsi"/>
          <w:sz w:val="24"/>
          <w:szCs w:val="24"/>
          <w:lang w:val="tr-TR"/>
        </w:rPr>
      </w:pPr>
    </w:p>
    <w:p w:rsidR="00A820A4" w:rsidRPr="00CE3E0D" w:rsidRDefault="00A820A4" w:rsidP="00CE3E0D">
      <w:pPr>
        <w:spacing w:after="0" w:line="240" w:lineRule="auto"/>
        <w:jc w:val="both"/>
        <w:rPr>
          <w:rFonts w:asciiTheme="majorHAnsi" w:hAnsiTheme="majorHAnsi"/>
          <w:b/>
          <w:sz w:val="24"/>
          <w:szCs w:val="24"/>
          <w:lang w:val="tr-TR"/>
        </w:rPr>
      </w:pPr>
      <w:r w:rsidRPr="00CE3E0D">
        <w:rPr>
          <w:rFonts w:asciiTheme="majorHAnsi" w:hAnsiTheme="majorHAnsi"/>
          <w:b/>
          <w:sz w:val="24"/>
          <w:szCs w:val="24"/>
          <w:lang w:val="tr-TR"/>
        </w:rPr>
        <w:t>ENFLASYONU TEKNOLOJİK ÜRÜNLER AŞAĞIYA ÇEKİYOR</w:t>
      </w:r>
    </w:p>
    <w:p w:rsidR="00A820A4" w:rsidRPr="00CE3E0D" w:rsidRDefault="00A820A4" w:rsidP="00CE3E0D">
      <w:pPr>
        <w:spacing w:after="0" w:line="240" w:lineRule="auto"/>
        <w:jc w:val="both"/>
        <w:rPr>
          <w:rFonts w:asciiTheme="majorHAnsi" w:hAnsiTheme="majorHAnsi"/>
          <w:sz w:val="24"/>
          <w:szCs w:val="24"/>
          <w:lang w:val="tr-TR"/>
        </w:rPr>
      </w:pPr>
      <w:r w:rsidRPr="00CE3E0D">
        <w:rPr>
          <w:rFonts w:asciiTheme="majorHAnsi" w:hAnsiTheme="majorHAnsi"/>
          <w:sz w:val="24"/>
          <w:szCs w:val="24"/>
          <w:lang w:val="tr-TR"/>
        </w:rPr>
        <w:t xml:space="preserve">Enflasyon hesaplamasında önemli konulardan biri de madde sepetidir. Madde sepetinde araç satın alımı % 4,5’lik ağırlığı ile % 5,15’lik gerçek kiraya yakın bir ağırlığa sahiptir. Enflasyon rakamlarını en çok etkileyen bu iki gruptur. Ekmeğin enflasyona etkisi ise % 2,38’dir. Endekse etkisi yüksek olan ikinci gıda ürünü ise % 2,1 ile dana etidir. </w:t>
      </w:r>
    </w:p>
    <w:p w:rsidR="00A820A4" w:rsidRPr="00CE3E0D" w:rsidRDefault="00A820A4" w:rsidP="00CE3E0D">
      <w:pPr>
        <w:spacing w:after="0" w:line="240" w:lineRule="auto"/>
        <w:jc w:val="both"/>
        <w:rPr>
          <w:rFonts w:asciiTheme="majorHAnsi" w:hAnsiTheme="majorHAnsi"/>
          <w:sz w:val="24"/>
          <w:szCs w:val="24"/>
          <w:lang w:val="tr-TR"/>
        </w:rPr>
      </w:pPr>
      <w:r w:rsidRPr="00CE3E0D">
        <w:rPr>
          <w:rFonts w:asciiTheme="majorHAnsi" w:hAnsiTheme="majorHAnsi"/>
          <w:sz w:val="24"/>
          <w:szCs w:val="24"/>
          <w:lang w:val="tr-TR"/>
        </w:rPr>
        <w:t xml:space="preserve">Genel TÜFE endeksi 2003 yılı Mayıs döneminden bu yana % 178 artış göstermiştir. Bu oran gıda için % 191,2 oldu. Kira fiyatları ise 2,9 kat arttı. Buna karşın enflasyonu aşağı çeken ürünler ise ya teknolojik gelişmeye koşut olarak fiyatları zaten gerileyen ürünler ya da halkın geneli açısından zorunluluğu olmayan, yaygın olarak kullanılmayan ürünler olarak ortaya çıktı. </w:t>
      </w:r>
    </w:p>
    <w:p w:rsidR="00CE3E0D" w:rsidRDefault="00CE3E0D" w:rsidP="00CE3E0D">
      <w:pPr>
        <w:spacing w:after="0" w:line="240" w:lineRule="auto"/>
        <w:jc w:val="both"/>
        <w:rPr>
          <w:rFonts w:asciiTheme="majorHAnsi" w:hAnsiTheme="majorHAnsi"/>
          <w:sz w:val="24"/>
          <w:szCs w:val="24"/>
          <w:lang w:val="tr-TR"/>
        </w:rPr>
      </w:pPr>
    </w:p>
    <w:p w:rsidR="00A820A4" w:rsidRPr="008A46CC" w:rsidRDefault="00A820A4" w:rsidP="00CE3E0D">
      <w:pPr>
        <w:spacing w:after="0" w:line="240" w:lineRule="auto"/>
        <w:jc w:val="both"/>
        <w:rPr>
          <w:rFonts w:asciiTheme="majorHAnsi" w:hAnsiTheme="majorHAnsi"/>
          <w:b/>
          <w:i/>
          <w:sz w:val="24"/>
          <w:szCs w:val="24"/>
          <w:lang w:val="tr-TR"/>
        </w:rPr>
      </w:pPr>
      <w:r w:rsidRPr="008A46CC">
        <w:rPr>
          <w:rFonts w:asciiTheme="majorHAnsi" w:hAnsiTheme="majorHAnsi"/>
          <w:b/>
          <w:i/>
          <w:sz w:val="24"/>
          <w:szCs w:val="24"/>
          <w:lang w:val="tr-TR"/>
        </w:rPr>
        <w:lastRenderedPageBreak/>
        <w:t>Grafik 4- Enflasyon nedeniyle en fazla alım gücü kaybı yaşanan ürünler</w:t>
      </w:r>
    </w:p>
    <w:p w:rsidR="00A820A4" w:rsidRPr="00CE3E0D" w:rsidRDefault="00A820A4" w:rsidP="00CE3E0D">
      <w:pPr>
        <w:spacing w:after="0" w:line="240" w:lineRule="auto"/>
        <w:jc w:val="both"/>
        <w:rPr>
          <w:rFonts w:asciiTheme="majorHAnsi" w:hAnsiTheme="majorHAnsi"/>
          <w:sz w:val="24"/>
          <w:szCs w:val="24"/>
          <w:lang w:val="tr-TR"/>
        </w:rPr>
      </w:pPr>
      <w:r w:rsidRPr="00CE3E0D">
        <w:rPr>
          <w:rFonts w:asciiTheme="majorHAnsi" w:hAnsiTheme="majorHAnsi"/>
          <w:noProof/>
          <w:sz w:val="24"/>
          <w:szCs w:val="24"/>
          <w:lang w:val="tr-TR" w:eastAsia="tr-TR" w:bidi="ar-SA"/>
        </w:rPr>
        <w:drawing>
          <wp:inline distT="0" distB="0" distL="0" distR="0">
            <wp:extent cx="4572000" cy="2743200"/>
            <wp:effectExtent l="19050" t="0" r="19050" b="0"/>
            <wp:docPr id="16"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820A4" w:rsidRPr="00CE3E0D" w:rsidRDefault="00A820A4" w:rsidP="00CE3E0D">
      <w:pPr>
        <w:spacing w:after="0" w:line="240" w:lineRule="auto"/>
        <w:jc w:val="both"/>
        <w:rPr>
          <w:rFonts w:asciiTheme="majorHAnsi" w:hAnsiTheme="majorHAnsi"/>
          <w:sz w:val="24"/>
          <w:szCs w:val="24"/>
          <w:lang w:val="tr-TR"/>
        </w:rPr>
      </w:pPr>
      <w:r w:rsidRPr="00CE3E0D">
        <w:rPr>
          <w:rFonts w:asciiTheme="majorHAnsi" w:hAnsiTheme="majorHAnsi"/>
          <w:sz w:val="24"/>
          <w:szCs w:val="24"/>
          <w:lang w:val="tr-TR"/>
        </w:rPr>
        <w:t>Genel TÜFE 2003 Mayıs döneminden bu yana % 178 artarken, enflasyonu aşağıya çekerek, gizli yoksullaşmaya neden olan, fiyatları reel olarak ciddi şekilde azalan alt madde gruplarının bazıları ise şunlar oldu:</w:t>
      </w:r>
    </w:p>
    <w:p w:rsidR="00A820A4" w:rsidRPr="00CE3E0D" w:rsidRDefault="00A820A4" w:rsidP="00CE3E0D">
      <w:pPr>
        <w:pStyle w:val="ListeParagraf"/>
        <w:numPr>
          <w:ilvl w:val="0"/>
          <w:numId w:val="6"/>
        </w:numPr>
        <w:spacing w:after="0" w:line="240" w:lineRule="auto"/>
        <w:jc w:val="both"/>
        <w:rPr>
          <w:rFonts w:asciiTheme="majorHAnsi" w:eastAsia="Times New Roman" w:hAnsiTheme="majorHAnsi"/>
          <w:bCs/>
          <w:color w:val="000000"/>
          <w:sz w:val="24"/>
          <w:szCs w:val="24"/>
          <w:lang w:val="tr-TR" w:eastAsia="tr-TR"/>
        </w:rPr>
      </w:pPr>
      <w:r w:rsidRPr="00CE3E0D">
        <w:rPr>
          <w:rFonts w:asciiTheme="majorHAnsi" w:hAnsiTheme="majorHAnsi"/>
          <w:sz w:val="24"/>
          <w:szCs w:val="24"/>
          <w:lang w:val="tr-TR"/>
        </w:rPr>
        <w:t>Fotoğraf makinesi, kamera, CD çalar, VCD, televizyon gibi ürünlerin içinde yer aldığı “</w:t>
      </w:r>
      <w:bookmarkStart w:id="0" w:name="OLE_LINK1"/>
      <w:bookmarkStart w:id="1" w:name="OLE_LINK2"/>
      <w:r w:rsidRPr="00CE3E0D">
        <w:rPr>
          <w:rFonts w:asciiTheme="majorHAnsi" w:eastAsia="Times New Roman" w:hAnsiTheme="majorHAnsi"/>
          <w:bCs/>
          <w:color w:val="000000"/>
          <w:sz w:val="24"/>
          <w:szCs w:val="24"/>
          <w:lang w:val="tr-TR" w:eastAsia="tr-TR"/>
        </w:rPr>
        <w:t>Görsel-İşitsel Sistemle (Audıo-Vısual), Fotoğrafla Ve Veri İşlemle İle İlgili Ekipmanları</w:t>
      </w:r>
      <w:bookmarkEnd w:id="0"/>
      <w:bookmarkEnd w:id="1"/>
      <w:r w:rsidRPr="00CE3E0D">
        <w:rPr>
          <w:rFonts w:asciiTheme="majorHAnsi" w:eastAsia="Times New Roman" w:hAnsiTheme="majorHAnsi"/>
          <w:bCs/>
          <w:color w:val="000000"/>
          <w:sz w:val="24"/>
          <w:szCs w:val="24"/>
          <w:lang w:val="tr-TR" w:eastAsia="tr-TR"/>
        </w:rPr>
        <w:t>”nın fiyatları 2003 yılı Mayıs ayından beri % 20 geriledi.</w:t>
      </w:r>
    </w:p>
    <w:p w:rsidR="00A820A4" w:rsidRPr="00CE3E0D" w:rsidRDefault="00A820A4" w:rsidP="00CE3E0D">
      <w:pPr>
        <w:pStyle w:val="ListeParagraf"/>
        <w:numPr>
          <w:ilvl w:val="0"/>
          <w:numId w:val="6"/>
        </w:numPr>
        <w:spacing w:after="0" w:line="240" w:lineRule="auto"/>
        <w:jc w:val="both"/>
        <w:rPr>
          <w:rFonts w:asciiTheme="majorHAnsi" w:eastAsia="Times New Roman" w:hAnsiTheme="majorHAnsi"/>
          <w:bCs/>
          <w:color w:val="000000"/>
          <w:sz w:val="24"/>
          <w:szCs w:val="24"/>
          <w:lang w:val="tr-TR" w:eastAsia="tr-TR"/>
        </w:rPr>
      </w:pPr>
      <w:r w:rsidRPr="00CE3E0D">
        <w:rPr>
          <w:rFonts w:asciiTheme="majorHAnsi" w:eastAsia="Times New Roman" w:hAnsiTheme="majorHAnsi"/>
          <w:bCs/>
          <w:color w:val="000000"/>
          <w:sz w:val="24"/>
          <w:szCs w:val="24"/>
          <w:lang w:val="tr-TR" w:eastAsia="tr-TR"/>
        </w:rPr>
        <w:t xml:space="preserve">Sim kart, batarya, telsiz telefon ve cep telefonun da içinde yer aldığı </w:t>
      </w:r>
      <w:bookmarkStart w:id="2" w:name="OLE_LINK3"/>
      <w:bookmarkStart w:id="3" w:name="OLE_LINK4"/>
      <w:r w:rsidRPr="00CE3E0D">
        <w:rPr>
          <w:rFonts w:asciiTheme="majorHAnsi" w:eastAsia="Times New Roman" w:hAnsiTheme="majorHAnsi"/>
          <w:bCs/>
          <w:color w:val="000000"/>
          <w:sz w:val="24"/>
          <w:szCs w:val="24"/>
          <w:lang w:val="tr-TR" w:eastAsia="tr-TR"/>
        </w:rPr>
        <w:t>“Telefon Faks ve Ekipmanlarının”</w:t>
      </w:r>
      <w:bookmarkEnd w:id="2"/>
      <w:bookmarkEnd w:id="3"/>
      <w:r w:rsidRPr="00CE3E0D">
        <w:rPr>
          <w:rFonts w:asciiTheme="majorHAnsi" w:eastAsia="Times New Roman" w:hAnsiTheme="majorHAnsi"/>
          <w:bCs/>
          <w:color w:val="000000"/>
          <w:sz w:val="24"/>
          <w:szCs w:val="24"/>
          <w:lang w:val="tr-TR" w:eastAsia="tr-TR"/>
        </w:rPr>
        <w:t xml:space="preserve"> fiyatı 2003 yılı Mayıs ayından bu yana % 28’lik bir artış gösterdi. </w:t>
      </w:r>
    </w:p>
    <w:p w:rsidR="00A820A4" w:rsidRPr="00CE3E0D" w:rsidRDefault="00A820A4" w:rsidP="00CE3E0D">
      <w:pPr>
        <w:pStyle w:val="ListeParagraf"/>
        <w:numPr>
          <w:ilvl w:val="0"/>
          <w:numId w:val="6"/>
        </w:numPr>
        <w:spacing w:after="0" w:line="240" w:lineRule="auto"/>
        <w:jc w:val="both"/>
        <w:rPr>
          <w:rFonts w:asciiTheme="majorHAnsi" w:eastAsia="Times New Roman" w:hAnsiTheme="majorHAnsi"/>
          <w:bCs/>
          <w:color w:val="000000"/>
          <w:sz w:val="24"/>
          <w:szCs w:val="24"/>
          <w:lang w:val="tr-TR" w:eastAsia="tr-TR"/>
        </w:rPr>
      </w:pPr>
      <w:r w:rsidRPr="00CE3E0D">
        <w:rPr>
          <w:rFonts w:asciiTheme="majorHAnsi" w:eastAsia="Times New Roman" w:hAnsiTheme="majorHAnsi"/>
          <w:bCs/>
          <w:color w:val="000000"/>
          <w:sz w:val="24"/>
          <w:szCs w:val="24"/>
          <w:lang w:val="tr-TR" w:eastAsia="tr-TR"/>
        </w:rPr>
        <w:t xml:space="preserve">Elektrikli ev aletleri ve diğerleri oluşturan </w:t>
      </w:r>
      <w:bookmarkStart w:id="4" w:name="OLE_LINK5"/>
      <w:bookmarkStart w:id="5" w:name="OLE_LINK6"/>
      <w:r w:rsidRPr="00CE3E0D">
        <w:rPr>
          <w:rFonts w:asciiTheme="majorHAnsi" w:eastAsia="Times New Roman" w:hAnsiTheme="majorHAnsi"/>
          <w:bCs/>
          <w:color w:val="000000"/>
          <w:sz w:val="24"/>
          <w:szCs w:val="24"/>
          <w:lang w:val="tr-TR" w:eastAsia="tr-TR"/>
        </w:rPr>
        <w:t xml:space="preserve">“Ev aletleri” </w:t>
      </w:r>
      <w:bookmarkEnd w:id="4"/>
      <w:bookmarkEnd w:id="5"/>
      <w:r w:rsidRPr="00CE3E0D">
        <w:rPr>
          <w:rFonts w:asciiTheme="majorHAnsi" w:eastAsia="Times New Roman" w:hAnsiTheme="majorHAnsi"/>
          <w:bCs/>
          <w:color w:val="000000"/>
          <w:sz w:val="24"/>
          <w:szCs w:val="24"/>
          <w:lang w:val="tr-TR" w:eastAsia="tr-TR"/>
        </w:rPr>
        <w:t xml:space="preserve">2003 yılı Mayıs ayından bu yana sadece % 41 oranında bir artış gösterdi. </w:t>
      </w:r>
    </w:p>
    <w:p w:rsidR="00A820A4" w:rsidRPr="00CE3E0D" w:rsidRDefault="00A820A4" w:rsidP="00CE3E0D">
      <w:pPr>
        <w:pStyle w:val="ListeParagraf"/>
        <w:numPr>
          <w:ilvl w:val="0"/>
          <w:numId w:val="6"/>
        </w:numPr>
        <w:spacing w:after="0" w:line="240" w:lineRule="auto"/>
        <w:jc w:val="both"/>
        <w:rPr>
          <w:rFonts w:asciiTheme="majorHAnsi" w:eastAsia="Times New Roman" w:hAnsiTheme="majorHAnsi"/>
          <w:bCs/>
          <w:color w:val="000000"/>
          <w:sz w:val="24"/>
          <w:szCs w:val="24"/>
          <w:lang w:val="tr-TR" w:eastAsia="tr-TR"/>
        </w:rPr>
      </w:pPr>
      <w:r w:rsidRPr="00CE3E0D">
        <w:rPr>
          <w:rFonts w:asciiTheme="majorHAnsi" w:eastAsia="Times New Roman" w:hAnsiTheme="majorHAnsi"/>
          <w:bCs/>
          <w:color w:val="000000"/>
          <w:sz w:val="24"/>
          <w:szCs w:val="24"/>
          <w:lang w:val="tr-TR" w:eastAsia="tr-TR"/>
        </w:rPr>
        <w:t xml:space="preserve">Ağırlığı kira ile hemen hemen aynı, ekmekten ise fazla olan “araç satın alımı” 2003 Mayıs ayından bu yana fiyatı sadece % 50 oranında arttı. </w:t>
      </w:r>
    </w:p>
    <w:p w:rsidR="00A820A4" w:rsidRPr="00CE3E0D" w:rsidRDefault="00A820A4" w:rsidP="00CE3E0D">
      <w:pPr>
        <w:pStyle w:val="ListeParagraf"/>
        <w:numPr>
          <w:ilvl w:val="0"/>
          <w:numId w:val="6"/>
        </w:numPr>
        <w:spacing w:after="0" w:line="240" w:lineRule="auto"/>
        <w:jc w:val="both"/>
        <w:rPr>
          <w:rFonts w:asciiTheme="majorHAnsi" w:eastAsia="Times New Roman" w:hAnsiTheme="majorHAnsi"/>
          <w:bCs/>
          <w:color w:val="000000"/>
          <w:sz w:val="24"/>
          <w:szCs w:val="24"/>
          <w:lang w:val="tr-TR" w:eastAsia="tr-TR"/>
        </w:rPr>
      </w:pPr>
      <w:r w:rsidRPr="00CE3E0D">
        <w:rPr>
          <w:rFonts w:asciiTheme="majorHAnsi" w:eastAsia="Times New Roman" w:hAnsiTheme="majorHAnsi"/>
          <w:bCs/>
          <w:color w:val="000000"/>
          <w:sz w:val="24"/>
          <w:szCs w:val="24"/>
          <w:lang w:val="tr-TR" w:eastAsia="tr-TR"/>
        </w:rPr>
        <w:t>Tansiyon aleti, ilaç, ilkyardım aletleri, gözlük cam ve çerçevesini içeren “</w:t>
      </w:r>
      <w:bookmarkStart w:id="6" w:name="OLE_LINK7"/>
      <w:bookmarkStart w:id="7" w:name="OLE_LINK8"/>
      <w:r w:rsidRPr="00CE3E0D">
        <w:rPr>
          <w:rFonts w:asciiTheme="majorHAnsi" w:eastAsia="Times New Roman" w:hAnsiTheme="majorHAnsi"/>
          <w:bCs/>
          <w:color w:val="000000"/>
          <w:sz w:val="24"/>
          <w:szCs w:val="24"/>
          <w:lang w:val="tr-TR" w:eastAsia="tr-TR"/>
        </w:rPr>
        <w:t>Tıbbi ürünler, aletler ve malzemeler</w:t>
      </w:r>
      <w:bookmarkEnd w:id="6"/>
      <w:bookmarkEnd w:id="7"/>
      <w:r w:rsidRPr="00CE3E0D">
        <w:rPr>
          <w:rFonts w:asciiTheme="majorHAnsi" w:eastAsia="Times New Roman" w:hAnsiTheme="majorHAnsi"/>
          <w:bCs/>
          <w:color w:val="000000"/>
          <w:sz w:val="24"/>
          <w:szCs w:val="24"/>
          <w:lang w:val="tr-TR" w:eastAsia="tr-TR"/>
        </w:rPr>
        <w:t>” 2003 Mayıs ayından bu yana % 9 oranında geriledi.</w:t>
      </w:r>
    </w:p>
    <w:p w:rsidR="00A820A4" w:rsidRPr="00CE3E0D" w:rsidRDefault="00A820A4" w:rsidP="00CE3E0D">
      <w:pPr>
        <w:spacing w:after="0" w:line="240" w:lineRule="auto"/>
        <w:jc w:val="both"/>
        <w:rPr>
          <w:rFonts w:asciiTheme="majorHAnsi" w:eastAsia="Times New Roman" w:hAnsiTheme="majorHAnsi"/>
          <w:bCs/>
          <w:color w:val="000000"/>
          <w:sz w:val="24"/>
          <w:szCs w:val="24"/>
          <w:lang w:val="tr-TR" w:eastAsia="tr-TR"/>
        </w:rPr>
      </w:pPr>
    </w:p>
    <w:p w:rsidR="00A820A4" w:rsidRPr="00CE3E0D" w:rsidRDefault="00A820A4" w:rsidP="00CE3E0D">
      <w:pPr>
        <w:spacing w:after="0" w:line="240" w:lineRule="auto"/>
        <w:jc w:val="both"/>
        <w:rPr>
          <w:rFonts w:asciiTheme="majorHAnsi" w:eastAsia="Times New Roman" w:hAnsiTheme="majorHAnsi"/>
          <w:bCs/>
          <w:color w:val="000000"/>
          <w:sz w:val="24"/>
          <w:szCs w:val="24"/>
          <w:lang w:val="tr-TR" w:eastAsia="tr-TR"/>
        </w:rPr>
      </w:pPr>
    </w:p>
    <w:p w:rsidR="00A820A4" w:rsidRPr="00CE3E0D" w:rsidRDefault="00A820A4" w:rsidP="00CE3E0D">
      <w:pPr>
        <w:spacing w:after="0" w:line="240" w:lineRule="auto"/>
        <w:jc w:val="both"/>
        <w:rPr>
          <w:rFonts w:asciiTheme="majorHAnsi" w:hAnsiTheme="majorHAnsi"/>
          <w:b/>
          <w:sz w:val="24"/>
          <w:szCs w:val="24"/>
          <w:lang w:val="tr-TR"/>
        </w:rPr>
      </w:pPr>
      <w:r w:rsidRPr="00CE3E0D">
        <w:rPr>
          <w:rFonts w:asciiTheme="majorHAnsi" w:hAnsiTheme="majorHAnsi"/>
          <w:b/>
          <w:sz w:val="24"/>
          <w:szCs w:val="24"/>
          <w:lang w:val="tr-TR"/>
        </w:rPr>
        <w:t>EMEK ÖRGÜTLERİ DIŞLANIYOR</w:t>
      </w:r>
    </w:p>
    <w:p w:rsidR="00A820A4" w:rsidRPr="00CE3E0D" w:rsidRDefault="00A820A4" w:rsidP="00CE3E0D">
      <w:pPr>
        <w:spacing w:after="0" w:line="240" w:lineRule="auto"/>
        <w:jc w:val="both"/>
        <w:rPr>
          <w:rFonts w:asciiTheme="majorHAnsi" w:hAnsiTheme="majorHAnsi"/>
          <w:sz w:val="24"/>
          <w:szCs w:val="24"/>
          <w:lang w:val="tr-TR"/>
        </w:rPr>
      </w:pPr>
      <w:r w:rsidRPr="00CE3E0D">
        <w:rPr>
          <w:rFonts w:asciiTheme="majorHAnsi" w:hAnsiTheme="majorHAnsi"/>
          <w:sz w:val="24"/>
          <w:szCs w:val="24"/>
          <w:lang w:val="tr-TR"/>
        </w:rPr>
        <w:t xml:space="preserve">TÜİK tarafından üretilen veriler, işçilerin ve geniş emekçi kesimlerinin gelirlerini doğrudan etkilemektedir. Buna karşı emek örgütleri TÜİK’in kurumsal yapısının dışında tutulmaktadır. 2005 yılında yürürlüğe giren 5429 sayılı Türkiye İstatistik Kanunu’nda oluşturulan istatistik konseyinde kamu kurum ve kuruluşlarının temsilcilerinin yanında Türkiye Odalar ve Borsalar Birliği Yönetim Kurulu başkanı dahil edilirken, sendikalar sürece dahil edilmemiştir. TÜİK bu anlamda şeffaflıktan ve denetlenebilirlikten uzaktır.  </w:t>
      </w:r>
    </w:p>
    <w:p w:rsidR="00CE3E0D" w:rsidRDefault="00CE3E0D" w:rsidP="00CE3E0D">
      <w:pPr>
        <w:spacing w:after="0" w:line="240" w:lineRule="auto"/>
        <w:jc w:val="both"/>
        <w:rPr>
          <w:rFonts w:asciiTheme="majorHAnsi" w:hAnsiTheme="majorHAnsi"/>
          <w:b/>
          <w:sz w:val="24"/>
          <w:szCs w:val="24"/>
          <w:lang w:val="tr-TR"/>
        </w:rPr>
      </w:pPr>
    </w:p>
    <w:p w:rsidR="00A820A4" w:rsidRPr="00CE3E0D" w:rsidRDefault="00A820A4" w:rsidP="00CE3E0D">
      <w:pPr>
        <w:spacing w:after="0" w:line="240" w:lineRule="auto"/>
        <w:jc w:val="both"/>
        <w:rPr>
          <w:rFonts w:asciiTheme="majorHAnsi" w:hAnsiTheme="majorHAnsi"/>
          <w:b/>
          <w:sz w:val="24"/>
          <w:szCs w:val="24"/>
          <w:lang w:val="tr-TR"/>
        </w:rPr>
      </w:pPr>
      <w:r w:rsidRPr="00CE3E0D">
        <w:rPr>
          <w:rFonts w:asciiTheme="majorHAnsi" w:hAnsiTheme="majorHAnsi"/>
          <w:b/>
          <w:sz w:val="24"/>
          <w:szCs w:val="24"/>
          <w:lang w:val="tr-TR"/>
        </w:rPr>
        <w:t>EMEKÇİLER DİKKATE ALINMALI</w:t>
      </w:r>
    </w:p>
    <w:p w:rsidR="00A820A4" w:rsidRPr="00CE3E0D" w:rsidRDefault="00A820A4" w:rsidP="00CE3E0D">
      <w:pPr>
        <w:pStyle w:val="NormalWeb"/>
        <w:spacing w:before="0" w:beforeAutospacing="0" w:after="0" w:afterAutospacing="0"/>
        <w:jc w:val="both"/>
        <w:rPr>
          <w:rFonts w:asciiTheme="majorHAnsi" w:hAnsiTheme="majorHAnsi"/>
          <w:color w:val="000000"/>
          <w:shd w:val="clear" w:color="auto" w:fill="FFFFFF"/>
        </w:rPr>
      </w:pPr>
      <w:r w:rsidRPr="00CE3E0D">
        <w:rPr>
          <w:rFonts w:asciiTheme="majorHAnsi" w:hAnsiTheme="majorHAnsi"/>
          <w:color w:val="000000"/>
          <w:shd w:val="clear" w:color="auto" w:fill="FFFFFF"/>
        </w:rPr>
        <w:t>Enflasyon oranlarının, emekçiler açısından ihtiyaç duyulan temel ürünlerin gerisinde kalması, alım gücünü ciddi şekilde etkilemekte ve gizli bir yoksullaşmanın yolunu açmaktadır. Temel sorulması gereken soru araç satın alımının emekçilerin ücret artışlarını ne ölçüde etkilemesi gereken bir unsur olduğudur. Enflasyon hesaplaması yapılırken ve ağırlıkları belirlenirken, toplumun büyük bir kesimini doğrudan etkilemeyen maddelerin, ya da fiyatları doğallığında sürekli olarak gerileyen teknolojik ürünlerin dikkate alınması ne kadar doğrudur?</w:t>
      </w:r>
    </w:p>
    <w:p w:rsidR="008A46CC" w:rsidRDefault="00A820A4" w:rsidP="00CE3E0D">
      <w:pPr>
        <w:pStyle w:val="NormalWeb"/>
        <w:spacing w:before="0" w:beforeAutospacing="0" w:after="0" w:afterAutospacing="0"/>
        <w:jc w:val="both"/>
        <w:rPr>
          <w:rFonts w:asciiTheme="majorHAnsi" w:hAnsiTheme="majorHAnsi"/>
          <w:color w:val="000000"/>
          <w:shd w:val="clear" w:color="auto" w:fill="FFFFFF"/>
        </w:rPr>
      </w:pPr>
      <w:r w:rsidRPr="00CE3E0D">
        <w:rPr>
          <w:rFonts w:asciiTheme="majorHAnsi" w:hAnsiTheme="majorHAnsi"/>
          <w:color w:val="000000"/>
          <w:shd w:val="clear" w:color="auto" w:fill="FFFFFF"/>
        </w:rPr>
        <w:t xml:space="preserve">TÜFE rakamı Türkiye açısından bu hesaplama yöntemi ile sadece makro ekonomik dengelerin dikkate alındığı buna karşın emekçilerin yaşam koşullarının göz ardı edildiği bir anlayışın izlerini taşımaktadır. Hükümetin yakın gelecekte, döviz kurundaki hareketler, küresel kriz vb. nedenlerle enflasyonda oluşacak ciddi artışların önünü, bir takım hesaplama yöntemleri ile kesmek adına girişimleri, emekçilerin ekmekleri ile oynanması anlamına gelecektir.  </w:t>
      </w:r>
    </w:p>
    <w:p w:rsidR="00A820A4" w:rsidRPr="00CE3E0D" w:rsidRDefault="00A820A4" w:rsidP="00CE3E0D">
      <w:pPr>
        <w:pStyle w:val="NormalWeb"/>
        <w:spacing w:before="0" w:beforeAutospacing="0" w:after="0" w:afterAutospacing="0"/>
        <w:jc w:val="both"/>
        <w:rPr>
          <w:rFonts w:asciiTheme="majorHAnsi" w:hAnsiTheme="majorHAnsi"/>
          <w:color w:val="000000"/>
          <w:shd w:val="clear" w:color="auto" w:fill="FFFFFF"/>
        </w:rPr>
      </w:pPr>
      <w:r w:rsidRPr="00CE3E0D">
        <w:rPr>
          <w:rFonts w:asciiTheme="majorHAnsi" w:hAnsiTheme="majorHAnsi"/>
          <w:color w:val="000000"/>
          <w:shd w:val="clear" w:color="auto" w:fill="FFFFFF"/>
        </w:rPr>
        <w:lastRenderedPageBreak/>
        <w:t>Bu nedenle;</w:t>
      </w:r>
    </w:p>
    <w:p w:rsidR="00A820A4" w:rsidRPr="00CE3E0D" w:rsidRDefault="00A820A4" w:rsidP="00CE3E0D">
      <w:pPr>
        <w:pStyle w:val="NormalWeb"/>
        <w:numPr>
          <w:ilvl w:val="0"/>
          <w:numId w:val="7"/>
        </w:numPr>
        <w:spacing w:before="0" w:beforeAutospacing="0" w:after="0" w:afterAutospacing="0"/>
        <w:jc w:val="both"/>
        <w:rPr>
          <w:rFonts w:asciiTheme="majorHAnsi" w:hAnsiTheme="majorHAnsi"/>
          <w:color w:val="000000"/>
          <w:shd w:val="clear" w:color="auto" w:fill="FFFFFF"/>
        </w:rPr>
      </w:pPr>
      <w:r w:rsidRPr="00CE3E0D">
        <w:rPr>
          <w:rFonts w:asciiTheme="majorHAnsi" w:hAnsiTheme="majorHAnsi"/>
          <w:color w:val="000000"/>
          <w:shd w:val="clear" w:color="auto" w:fill="FFFFFF"/>
        </w:rPr>
        <w:t>Ücret artışlarında dikkate alınacak ayrı bir endeks oluşturulmalıdır</w:t>
      </w:r>
    </w:p>
    <w:p w:rsidR="00A820A4" w:rsidRPr="00CE3E0D" w:rsidRDefault="00A820A4" w:rsidP="00CE3E0D">
      <w:pPr>
        <w:pStyle w:val="NormalWeb"/>
        <w:numPr>
          <w:ilvl w:val="0"/>
          <w:numId w:val="7"/>
        </w:numPr>
        <w:spacing w:before="0" w:beforeAutospacing="0" w:after="0" w:afterAutospacing="0"/>
        <w:jc w:val="both"/>
        <w:rPr>
          <w:rFonts w:asciiTheme="majorHAnsi" w:hAnsiTheme="majorHAnsi"/>
          <w:color w:val="000000"/>
          <w:shd w:val="clear" w:color="auto" w:fill="FFFFFF"/>
        </w:rPr>
      </w:pPr>
      <w:r w:rsidRPr="00CE3E0D">
        <w:rPr>
          <w:rFonts w:asciiTheme="majorHAnsi" w:hAnsiTheme="majorHAnsi"/>
          <w:color w:val="000000"/>
          <w:shd w:val="clear" w:color="auto" w:fill="FFFFFF"/>
        </w:rPr>
        <w:t>Fiyatı sistematik olarak gerileyen teknolojik ürünler mal sepetinden çıkartılmalıdır.</w:t>
      </w:r>
    </w:p>
    <w:p w:rsidR="00A820A4" w:rsidRPr="00CE3E0D" w:rsidRDefault="00A820A4" w:rsidP="00CE3E0D">
      <w:pPr>
        <w:pStyle w:val="NormalWeb"/>
        <w:numPr>
          <w:ilvl w:val="0"/>
          <w:numId w:val="7"/>
        </w:numPr>
        <w:spacing w:before="0" w:beforeAutospacing="0" w:after="0" w:afterAutospacing="0"/>
        <w:jc w:val="both"/>
        <w:rPr>
          <w:rFonts w:asciiTheme="majorHAnsi" w:hAnsiTheme="majorHAnsi"/>
          <w:color w:val="000000"/>
          <w:shd w:val="clear" w:color="auto" w:fill="FFFFFF"/>
        </w:rPr>
      </w:pPr>
      <w:r w:rsidRPr="00CE3E0D">
        <w:rPr>
          <w:rFonts w:asciiTheme="majorHAnsi" w:hAnsiTheme="majorHAnsi"/>
          <w:color w:val="000000"/>
          <w:shd w:val="clear" w:color="auto" w:fill="FFFFFF"/>
        </w:rPr>
        <w:t>Toplum tarafından yaygın olarak kullanılmadığı halde, yüksek değer taşıdığı için ciddi bir biçimde enflasyonu etkileyen ürünler mal sepetinde yer almamalıdır.</w:t>
      </w:r>
    </w:p>
    <w:p w:rsidR="00A820A4" w:rsidRPr="00CE3E0D" w:rsidRDefault="00A820A4" w:rsidP="00CE3E0D">
      <w:pPr>
        <w:pStyle w:val="NormalWeb"/>
        <w:numPr>
          <w:ilvl w:val="0"/>
          <w:numId w:val="7"/>
        </w:numPr>
        <w:spacing w:before="0" w:beforeAutospacing="0" w:after="0" w:afterAutospacing="0"/>
        <w:jc w:val="both"/>
        <w:rPr>
          <w:rFonts w:asciiTheme="majorHAnsi" w:hAnsiTheme="majorHAnsi"/>
          <w:color w:val="000000"/>
          <w:shd w:val="clear" w:color="auto" w:fill="FFFFFF"/>
        </w:rPr>
      </w:pPr>
      <w:r w:rsidRPr="00CE3E0D">
        <w:rPr>
          <w:rFonts w:asciiTheme="majorHAnsi" w:hAnsiTheme="majorHAnsi"/>
          <w:color w:val="000000"/>
          <w:shd w:val="clear" w:color="auto" w:fill="FFFFFF"/>
        </w:rPr>
        <w:t>Her türlü subjektif müdahaleye açık olan yıllık sepet değişimi konusunda, sendikalarında onayının alınması sağlamalıdır.</w:t>
      </w:r>
    </w:p>
    <w:p w:rsidR="00A820A4" w:rsidRPr="00CE3E0D" w:rsidRDefault="00A820A4" w:rsidP="00CE3E0D">
      <w:pPr>
        <w:pStyle w:val="NormalWeb"/>
        <w:numPr>
          <w:ilvl w:val="0"/>
          <w:numId w:val="7"/>
        </w:numPr>
        <w:spacing w:before="0" w:beforeAutospacing="0" w:after="0" w:afterAutospacing="0"/>
        <w:jc w:val="both"/>
        <w:rPr>
          <w:rFonts w:asciiTheme="majorHAnsi" w:hAnsiTheme="majorHAnsi"/>
          <w:color w:val="000000"/>
          <w:shd w:val="clear" w:color="auto" w:fill="FFFFFF"/>
        </w:rPr>
      </w:pPr>
      <w:r w:rsidRPr="00CE3E0D">
        <w:rPr>
          <w:rFonts w:asciiTheme="majorHAnsi" w:hAnsiTheme="majorHAnsi"/>
          <w:color w:val="000000"/>
          <w:shd w:val="clear" w:color="auto" w:fill="FFFFFF"/>
        </w:rPr>
        <w:t>İstatistik konseyinin kapsamı genişletilerek emek örgütlerinin katılımı ve denetimi sağlanmalıdır.</w:t>
      </w:r>
    </w:p>
    <w:p w:rsidR="00A820A4" w:rsidRPr="00CE3E0D" w:rsidRDefault="00A820A4" w:rsidP="00CE3E0D">
      <w:pPr>
        <w:pStyle w:val="NormalWeb"/>
        <w:numPr>
          <w:ilvl w:val="0"/>
          <w:numId w:val="7"/>
        </w:numPr>
        <w:spacing w:before="0" w:beforeAutospacing="0" w:after="0" w:afterAutospacing="0"/>
        <w:jc w:val="both"/>
        <w:rPr>
          <w:rFonts w:asciiTheme="majorHAnsi" w:hAnsiTheme="majorHAnsi"/>
          <w:color w:val="000000"/>
          <w:shd w:val="clear" w:color="auto" w:fill="FFFFFF"/>
        </w:rPr>
      </w:pPr>
      <w:r w:rsidRPr="00CE3E0D">
        <w:rPr>
          <w:rFonts w:asciiTheme="majorHAnsi" w:hAnsiTheme="majorHAnsi"/>
          <w:color w:val="000000"/>
          <w:shd w:val="clear" w:color="auto" w:fill="FFFFFF"/>
        </w:rPr>
        <w:t>Hükümet mensuplarının TÜİK’e müdahalesi anlamına gelecek yaklaşımlardan uzak durmaları sağlanmalıdır.</w:t>
      </w:r>
    </w:p>
    <w:p w:rsidR="00A820A4" w:rsidRDefault="00A820A4" w:rsidP="00CE3E0D">
      <w:pPr>
        <w:pStyle w:val="NormalWeb"/>
        <w:numPr>
          <w:ilvl w:val="0"/>
          <w:numId w:val="7"/>
        </w:numPr>
        <w:spacing w:before="0" w:beforeAutospacing="0" w:after="0" w:afterAutospacing="0"/>
        <w:jc w:val="both"/>
        <w:rPr>
          <w:rFonts w:asciiTheme="majorHAnsi" w:hAnsiTheme="majorHAnsi"/>
          <w:color w:val="000000"/>
          <w:shd w:val="clear" w:color="auto" w:fill="FFFFFF"/>
        </w:rPr>
      </w:pPr>
      <w:r w:rsidRPr="00CE3E0D">
        <w:rPr>
          <w:rFonts w:asciiTheme="majorHAnsi" w:hAnsiTheme="majorHAnsi"/>
          <w:color w:val="000000"/>
          <w:shd w:val="clear" w:color="auto" w:fill="FFFFFF"/>
        </w:rPr>
        <w:t xml:space="preserve">Enflasyon hesaplamasında yukarıda belirtilen unsurlardan kaynaklı yaşanan gelir kayıpları giderilmelidir. </w:t>
      </w:r>
    </w:p>
    <w:p w:rsidR="00CE3E0D" w:rsidRPr="008A46CC" w:rsidRDefault="00CE3E0D" w:rsidP="00CE3E0D">
      <w:pPr>
        <w:pStyle w:val="NormalWeb"/>
        <w:spacing w:before="0" w:beforeAutospacing="0" w:after="0" w:afterAutospacing="0"/>
        <w:jc w:val="both"/>
        <w:rPr>
          <w:rFonts w:asciiTheme="majorHAnsi" w:hAnsiTheme="majorHAnsi"/>
          <w:color w:val="000000"/>
          <w:sz w:val="4"/>
          <w:szCs w:val="4"/>
          <w:shd w:val="clear" w:color="auto" w:fill="FFFFFF"/>
        </w:rPr>
      </w:pPr>
    </w:p>
    <w:tbl>
      <w:tblPr>
        <w:tblW w:w="9312" w:type="dxa"/>
        <w:tblInd w:w="65" w:type="dxa"/>
        <w:tblCellMar>
          <w:left w:w="70" w:type="dxa"/>
          <w:right w:w="70" w:type="dxa"/>
        </w:tblCellMar>
        <w:tblLook w:val="04A0" w:firstRow="1" w:lastRow="0" w:firstColumn="1" w:lastColumn="0" w:noHBand="0" w:noVBand="1"/>
      </w:tblPr>
      <w:tblGrid>
        <w:gridCol w:w="3124"/>
        <w:gridCol w:w="1134"/>
        <w:gridCol w:w="992"/>
        <w:gridCol w:w="802"/>
        <w:gridCol w:w="850"/>
        <w:gridCol w:w="709"/>
        <w:gridCol w:w="992"/>
        <w:gridCol w:w="709"/>
      </w:tblGrid>
      <w:tr w:rsidR="00A820A4" w:rsidRPr="008A46CC" w:rsidTr="008A46CC">
        <w:trPr>
          <w:trHeight w:val="255"/>
        </w:trPr>
        <w:tc>
          <w:tcPr>
            <w:tcW w:w="3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13 YIL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10 YIL</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5 YIL</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3 YIL</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1 YIL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YILBAŞI</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1 AY</w:t>
            </w:r>
          </w:p>
        </w:tc>
      </w:tr>
      <w:tr w:rsidR="00A820A4" w:rsidRPr="008A46CC" w:rsidTr="008A46CC">
        <w:trPr>
          <w:trHeight w:val="25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GENEL ENFLASYON</w:t>
            </w:r>
          </w:p>
        </w:tc>
        <w:tc>
          <w:tcPr>
            <w:tcW w:w="1134"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177,9%</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116,9%</w:t>
            </w:r>
          </w:p>
        </w:tc>
        <w:tc>
          <w:tcPr>
            <w:tcW w:w="80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45,7%</w:t>
            </w:r>
          </w:p>
        </w:tc>
        <w:tc>
          <w:tcPr>
            <w:tcW w:w="850"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26,3%</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6,6%</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3,1%</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0,6%</w:t>
            </w:r>
          </w:p>
        </w:tc>
      </w:tr>
      <w:tr w:rsidR="00A820A4" w:rsidRPr="008A46CC" w:rsidTr="008A46CC">
        <w:trPr>
          <w:trHeight w:val="25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İŞTEKİ DURUMA GÖRE</w:t>
            </w:r>
          </w:p>
        </w:tc>
        <w:tc>
          <w:tcPr>
            <w:tcW w:w="1134"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 </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 </w:t>
            </w:r>
          </w:p>
        </w:tc>
        <w:tc>
          <w:tcPr>
            <w:tcW w:w="80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 </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 </w:t>
            </w:r>
          </w:p>
        </w:tc>
      </w:tr>
      <w:tr w:rsidR="00A820A4" w:rsidRPr="008A46CC" w:rsidTr="008A46CC">
        <w:trPr>
          <w:trHeight w:val="25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 xml:space="preserve"> (Düzenli Ücretli Çalışanlar)</w:t>
            </w:r>
          </w:p>
        </w:tc>
        <w:tc>
          <w:tcPr>
            <w:tcW w:w="1134"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199,7%</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117,9%</w:t>
            </w:r>
          </w:p>
        </w:tc>
        <w:tc>
          <w:tcPr>
            <w:tcW w:w="80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46,4%</w:t>
            </w:r>
          </w:p>
        </w:tc>
        <w:tc>
          <w:tcPr>
            <w:tcW w:w="850"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27,5%</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7,4%</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3,4%</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0,6%</w:t>
            </w:r>
          </w:p>
        </w:tc>
      </w:tr>
      <w:tr w:rsidR="00A820A4" w:rsidRPr="008A46CC" w:rsidTr="008A46CC">
        <w:trPr>
          <w:trHeight w:val="25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 xml:space="preserve"> (İşverenler)</w:t>
            </w:r>
          </w:p>
        </w:tc>
        <w:tc>
          <w:tcPr>
            <w:tcW w:w="1134"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196,2%</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115,2%</w:t>
            </w:r>
          </w:p>
        </w:tc>
        <w:tc>
          <w:tcPr>
            <w:tcW w:w="80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46,4%</w:t>
            </w:r>
          </w:p>
        </w:tc>
        <w:tc>
          <w:tcPr>
            <w:tcW w:w="850"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27,8%</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7,7%</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3,6%</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0,7%</w:t>
            </w:r>
          </w:p>
        </w:tc>
      </w:tr>
      <w:tr w:rsidR="00A820A4" w:rsidRPr="008A46CC" w:rsidTr="008A46CC">
        <w:trPr>
          <w:trHeight w:val="25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 xml:space="preserve"> (Kendi Hesabına Çalışanlar)</w:t>
            </w:r>
          </w:p>
        </w:tc>
        <w:tc>
          <w:tcPr>
            <w:tcW w:w="1134"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196,4%</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119,2%</w:t>
            </w:r>
          </w:p>
        </w:tc>
        <w:tc>
          <w:tcPr>
            <w:tcW w:w="80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46,0%</w:t>
            </w:r>
          </w:p>
        </w:tc>
        <w:tc>
          <w:tcPr>
            <w:tcW w:w="850"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27,2%</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6,8%</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3,2%</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0,5%</w:t>
            </w:r>
          </w:p>
        </w:tc>
      </w:tr>
      <w:tr w:rsidR="00A820A4" w:rsidRPr="008A46CC" w:rsidTr="008A46CC">
        <w:trPr>
          <w:trHeight w:val="25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 xml:space="preserve"> (Ücretsiz Aile Çalışanları)</w:t>
            </w:r>
          </w:p>
        </w:tc>
        <w:tc>
          <w:tcPr>
            <w:tcW w:w="1134"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192,1%</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116,4%</w:t>
            </w:r>
          </w:p>
        </w:tc>
        <w:tc>
          <w:tcPr>
            <w:tcW w:w="80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45,2%</w:t>
            </w:r>
          </w:p>
        </w:tc>
        <w:tc>
          <w:tcPr>
            <w:tcW w:w="850"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27,3%</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6,8%</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3,2%</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0,6%</w:t>
            </w:r>
          </w:p>
        </w:tc>
      </w:tr>
      <w:tr w:rsidR="00A820A4" w:rsidRPr="008A46CC" w:rsidTr="008A46CC">
        <w:trPr>
          <w:trHeight w:val="25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 xml:space="preserve"> (Yevmiyeli (Gündelik) Çalışanlar)</w:t>
            </w:r>
          </w:p>
        </w:tc>
        <w:tc>
          <w:tcPr>
            <w:tcW w:w="1134"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212,8%</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124,7%</w:t>
            </w:r>
          </w:p>
        </w:tc>
        <w:tc>
          <w:tcPr>
            <w:tcW w:w="80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46,5%</w:t>
            </w:r>
          </w:p>
        </w:tc>
        <w:tc>
          <w:tcPr>
            <w:tcW w:w="850"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26,9%</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7,0%</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3,3%</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0,4%</w:t>
            </w:r>
          </w:p>
        </w:tc>
      </w:tr>
      <w:tr w:rsidR="00A820A4" w:rsidRPr="008A46CC" w:rsidTr="008A46CC">
        <w:trPr>
          <w:trHeight w:val="25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 xml:space="preserve"> (Çalışmayanlar)</w:t>
            </w:r>
          </w:p>
        </w:tc>
        <w:tc>
          <w:tcPr>
            <w:tcW w:w="1134"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205,9%</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121,6%</w:t>
            </w:r>
          </w:p>
        </w:tc>
        <w:tc>
          <w:tcPr>
            <w:tcW w:w="80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45,6%</w:t>
            </w:r>
          </w:p>
        </w:tc>
        <w:tc>
          <w:tcPr>
            <w:tcW w:w="850"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27,1%</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7,1%</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3,2%</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0,4%</w:t>
            </w:r>
          </w:p>
        </w:tc>
      </w:tr>
      <w:tr w:rsidR="00A820A4" w:rsidRPr="008A46CC" w:rsidTr="008A46CC">
        <w:trPr>
          <w:trHeight w:val="25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MESLEĞE GÖRE</w:t>
            </w:r>
          </w:p>
        </w:tc>
        <w:tc>
          <w:tcPr>
            <w:tcW w:w="1134"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 </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 </w:t>
            </w:r>
          </w:p>
        </w:tc>
        <w:tc>
          <w:tcPr>
            <w:tcW w:w="80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 </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 </w:t>
            </w:r>
          </w:p>
        </w:tc>
      </w:tr>
      <w:tr w:rsidR="00A820A4" w:rsidRPr="008A46CC" w:rsidTr="008A46CC">
        <w:trPr>
          <w:trHeight w:val="25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 xml:space="preserve"> (Büro Hizmetlerinde Çalışan Elemanlar)</w:t>
            </w:r>
          </w:p>
        </w:tc>
        <w:tc>
          <w:tcPr>
            <w:tcW w:w="1134"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202,0%</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118,1%</w:t>
            </w:r>
          </w:p>
        </w:tc>
        <w:tc>
          <w:tcPr>
            <w:tcW w:w="80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45,9%</w:t>
            </w:r>
          </w:p>
        </w:tc>
        <w:tc>
          <w:tcPr>
            <w:tcW w:w="850"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27,0%</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7,2%</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3,3%</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0,6%</w:t>
            </w:r>
          </w:p>
        </w:tc>
      </w:tr>
      <w:tr w:rsidR="00A820A4" w:rsidRPr="008A46CC" w:rsidTr="008A46CC">
        <w:trPr>
          <w:trHeight w:val="25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 xml:space="preserve"> (Çalışmayanlar)</w:t>
            </w:r>
          </w:p>
        </w:tc>
        <w:tc>
          <w:tcPr>
            <w:tcW w:w="1134"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205,9%</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121,6%</w:t>
            </w:r>
          </w:p>
        </w:tc>
        <w:tc>
          <w:tcPr>
            <w:tcW w:w="80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45,6%</w:t>
            </w:r>
          </w:p>
        </w:tc>
        <w:tc>
          <w:tcPr>
            <w:tcW w:w="850"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27,1%</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7,1%</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3,2%</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0,4%</w:t>
            </w:r>
          </w:p>
        </w:tc>
      </w:tr>
      <w:tr w:rsidR="00A820A4" w:rsidRPr="008A46CC" w:rsidTr="008A46CC">
        <w:trPr>
          <w:trHeight w:val="25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 xml:space="preserve"> (Hizmet Ve Satış Elemanları)</w:t>
            </w:r>
          </w:p>
        </w:tc>
        <w:tc>
          <w:tcPr>
            <w:tcW w:w="1134"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200,8%</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119,3%</w:t>
            </w:r>
          </w:p>
        </w:tc>
        <w:tc>
          <w:tcPr>
            <w:tcW w:w="80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46,8%</w:t>
            </w:r>
          </w:p>
        </w:tc>
        <w:tc>
          <w:tcPr>
            <w:tcW w:w="850"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27,7%</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7,3%</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3,4%</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0,5%</w:t>
            </w:r>
          </w:p>
        </w:tc>
      </w:tr>
      <w:tr w:rsidR="00A820A4" w:rsidRPr="008A46CC" w:rsidTr="008A46CC">
        <w:trPr>
          <w:trHeight w:val="25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 xml:space="preserve"> (Nitelik Gerektirmeyen İşlerde Çalışanlar)</w:t>
            </w:r>
          </w:p>
        </w:tc>
        <w:tc>
          <w:tcPr>
            <w:tcW w:w="1134"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209,0%</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123,5%</w:t>
            </w:r>
          </w:p>
        </w:tc>
        <w:tc>
          <w:tcPr>
            <w:tcW w:w="80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46,3%</w:t>
            </w:r>
          </w:p>
        </w:tc>
        <w:tc>
          <w:tcPr>
            <w:tcW w:w="850"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26,8%</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6,9%</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3,2%</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0,4%</w:t>
            </w:r>
          </w:p>
        </w:tc>
      </w:tr>
      <w:tr w:rsidR="00A820A4" w:rsidRPr="008A46CC" w:rsidTr="008A46CC">
        <w:trPr>
          <w:trHeight w:val="25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 xml:space="preserve"> (Nitelikli Tarım, Ormancılık Ve Su Ürünleri Çalışanları)</w:t>
            </w:r>
          </w:p>
        </w:tc>
        <w:tc>
          <w:tcPr>
            <w:tcW w:w="1134"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194,7%</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120,9%</w:t>
            </w:r>
          </w:p>
        </w:tc>
        <w:tc>
          <w:tcPr>
            <w:tcW w:w="80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45,8%</w:t>
            </w:r>
          </w:p>
        </w:tc>
        <w:tc>
          <w:tcPr>
            <w:tcW w:w="850"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26,8%</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6,3%</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2,9%</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0,3%</w:t>
            </w:r>
          </w:p>
        </w:tc>
      </w:tr>
      <w:tr w:rsidR="00A820A4" w:rsidRPr="008A46CC" w:rsidTr="008A46CC">
        <w:trPr>
          <w:trHeight w:val="25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 xml:space="preserve"> (Profesyonel Meslek Mensupları)</w:t>
            </w:r>
          </w:p>
        </w:tc>
        <w:tc>
          <w:tcPr>
            <w:tcW w:w="1134"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191,2%</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112,8%</w:t>
            </w:r>
          </w:p>
        </w:tc>
        <w:tc>
          <w:tcPr>
            <w:tcW w:w="80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46,1%</w:t>
            </w:r>
          </w:p>
        </w:tc>
        <w:tc>
          <w:tcPr>
            <w:tcW w:w="850"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28,0%</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7,7%</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3,6%</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0,8%</w:t>
            </w:r>
          </w:p>
        </w:tc>
      </w:tr>
      <w:tr w:rsidR="00A820A4" w:rsidRPr="008A46CC" w:rsidTr="008A46CC">
        <w:trPr>
          <w:trHeight w:val="25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 xml:space="preserve"> (Sanatkarlar Ve İlgili İşlerde Çalışanlar)</w:t>
            </w:r>
          </w:p>
        </w:tc>
        <w:tc>
          <w:tcPr>
            <w:tcW w:w="1134"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202,1%</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120,0%</w:t>
            </w:r>
          </w:p>
        </w:tc>
        <w:tc>
          <w:tcPr>
            <w:tcW w:w="80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46,2%</w:t>
            </w:r>
          </w:p>
        </w:tc>
        <w:tc>
          <w:tcPr>
            <w:tcW w:w="850"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27,1%</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7,1%</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3,3%</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0,4%</w:t>
            </w:r>
          </w:p>
        </w:tc>
      </w:tr>
      <w:tr w:rsidR="00A820A4" w:rsidRPr="008A46CC" w:rsidTr="008A46CC">
        <w:trPr>
          <w:trHeight w:val="25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 xml:space="preserve"> (Teknisyenler, Teknikerler Ve Yardımcı Profesyonel Meslek Mensupları)</w:t>
            </w:r>
          </w:p>
        </w:tc>
        <w:tc>
          <w:tcPr>
            <w:tcW w:w="1134"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197,2%</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115,9%</w:t>
            </w:r>
          </w:p>
        </w:tc>
        <w:tc>
          <w:tcPr>
            <w:tcW w:w="80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45,5%</w:t>
            </w:r>
          </w:p>
        </w:tc>
        <w:tc>
          <w:tcPr>
            <w:tcW w:w="850"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27,1%</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7,2%</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3,3%</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0,7%</w:t>
            </w:r>
          </w:p>
        </w:tc>
      </w:tr>
      <w:tr w:rsidR="00A820A4" w:rsidRPr="008A46CC" w:rsidTr="008A46CC">
        <w:trPr>
          <w:trHeight w:val="25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 xml:space="preserve"> (Tesis Ve Makine Operatörleri Ve Montajcılar)</w:t>
            </w:r>
          </w:p>
        </w:tc>
        <w:tc>
          <w:tcPr>
            <w:tcW w:w="1134"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208,1%</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122,3%</w:t>
            </w:r>
          </w:p>
        </w:tc>
        <w:tc>
          <w:tcPr>
            <w:tcW w:w="80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46,6%</w:t>
            </w:r>
          </w:p>
        </w:tc>
        <w:tc>
          <w:tcPr>
            <w:tcW w:w="850"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27,1%</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7,2%</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3,4%</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0,5%</w:t>
            </w:r>
          </w:p>
        </w:tc>
      </w:tr>
      <w:tr w:rsidR="00A820A4" w:rsidRPr="008A46CC" w:rsidTr="008A46CC">
        <w:trPr>
          <w:trHeight w:val="25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 xml:space="preserve"> (Yöneticiler)</w:t>
            </w:r>
          </w:p>
        </w:tc>
        <w:tc>
          <w:tcPr>
            <w:tcW w:w="1134"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196,6%</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115,6%</w:t>
            </w:r>
          </w:p>
        </w:tc>
        <w:tc>
          <w:tcPr>
            <w:tcW w:w="80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46,8%</w:t>
            </w:r>
          </w:p>
        </w:tc>
        <w:tc>
          <w:tcPr>
            <w:tcW w:w="850"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28,2%</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7,7%</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3,6%</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0,7%</w:t>
            </w:r>
          </w:p>
        </w:tc>
      </w:tr>
      <w:tr w:rsidR="00A820A4" w:rsidRPr="008A46CC" w:rsidTr="008A46CC">
        <w:trPr>
          <w:trHeight w:val="25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TEMEL GELİR KAYNAĞINA GÖRE</w:t>
            </w:r>
          </w:p>
        </w:tc>
        <w:tc>
          <w:tcPr>
            <w:tcW w:w="1134"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 </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 </w:t>
            </w:r>
          </w:p>
        </w:tc>
        <w:tc>
          <w:tcPr>
            <w:tcW w:w="80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 </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 </w:t>
            </w:r>
          </w:p>
        </w:tc>
      </w:tr>
      <w:tr w:rsidR="00A820A4" w:rsidRPr="008A46CC" w:rsidTr="008A46CC">
        <w:trPr>
          <w:trHeight w:val="25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Ücret, yevmiye</w:t>
            </w:r>
          </w:p>
        </w:tc>
        <w:tc>
          <w:tcPr>
            <w:tcW w:w="1134"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200,1%</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118,4%</w:t>
            </w:r>
          </w:p>
        </w:tc>
        <w:tc>
          <w:tcPr>
            <w:tcW w:w="80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46,3%</w:t>
            </w:r>
          </w:p>
        </w:tc>
        <w:tc>
          <w:tcPr>
            <w:tcW w:w="850"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27,4%</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7,3%</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3,4%</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0,6%</w:t>
            </w:r>
          </w:p>
        </w:tc>
      </w:tr>
      <w:tr w:rsidR="00A820A4" w:rsidRPr="008A46CC" w:rsidTr="008A46CC">
        <w:trPr>
          <w:trHeight w:val="25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Mütesebbis Geliri</w:t>
            </w:r>
          </w:p>
        </w:tc>
        <w:tc>
          <w:tcPr>
            <w:tcW w:w="1134"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197,2%</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118,2%</w:t>
            </w:r>
          </w:p>
        </w:tc>
        <w:tc>
          <w:tcPr>
            <w:tcW w:w="80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46,5%</w:t>
            </w:r>
          </w:p>
        </w:tc>
        <w:tc>
          <w:tcPr>
            <w:tcW w:w="850"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27,7%</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7,3%</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3,4%</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0,6%</w:t>
            </w:r>
          </w:p>
        </w:tc>
      </w:tr>
      <w:tr w:rsidR="00A820A4" w:rsidRPr="008A46CC" w:rsidTr="008A46CC">
        <w:trPr>
          <w:trHeight w:val="25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Emekli aylığı</w:t>
            </w:r>
          </w:p>
        </w:tc>
        <w:tc>
          <w:tcPr>
            <w:tcW w:w="1134"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204,0%</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121,7%</w:t>
            </w:r>
          </w:p>
        </w:tc>
        <w:tc>
          <w:tcPr>
            <w:tcW w:w="80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45,4%</w:t>
            </w:r>
          </w:p>
        </w:tc>
        <w:tc>
          <w:tcPr>
            <w:tcW w:w="850"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26,9%</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6,9%</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3,1%</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0,4%</w:t>
            </w:r>
          </w:p>
        </w:tc>
      </w:tr>
      <w:tr w:rsidR="00A820A4" w:rsidRPr="008A46CC" w:rsidTr="008A46CC">
        <w:trPr>
          <w:trHeight w:val="25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Diğer Transferler</w:t>
            </w:r>
          </w:p>
        </w:tc>
        <w:tc>
          <w:tcPr>
            <w:tcW w:w="1134"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211,9%</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123,3%</w:t>
            </w:r>
          </w:p>
        </w:tc>
        <w:tc>
          <w:tcPr>
            <w:tcW w:w="80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44,8%</w:t>
            </w:r>
          </w:p>
        </w:tc>
        <w:tc>
          <w:tcPr>
            <w:tcW w:w="850"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26,7%</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7,0%</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3,1%</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0,5%</w:t>
            </w:r>
          </w:p>
        </w:tc>
      </w:tr>
      <w:tr w:rsidR="00A820A4" w:rsidRPr="008A46CC" w:rsidTr="008A46CC">
        <w:trPr>
          <w:trHeight w:val="25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Gayrimenkul Kira Geliri Ve Menkul Kıymet Faiz Geliri</w:t>
            </w:r>
          </w:p>
        </w:tc>
        <w:tc>
          <w:tcPr>
            <w:tcW w:w="1134"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209,1%</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120,2%</w:t>
            </w:r>
          </w:p>
        </w:tc>
        <w:tc>
          <w:tcPr>
            <w:tcW w:w="80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44,8%</w:t>
            </w:r>
          </w:p>
        </w:tc>
        <w:tc>
          <w:tcPr>
            <w:tcW w:w="850"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26,4%</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7,2%</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3,1%</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0,6%</w:t>
            </w:r>
          </w:p>
        </w:tc>
      </w:tr>
      <w:tr w:rsidR="00A820A4" w:rsidRPr="008A46CC" w:rsidTr="008A46CC">
        <w:trPr>
          <w:trHeight w:val="25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GELİR GRUPLARINA GÖRE</w:t>
            </w:r>
          </w:p>
        </w:tc>
        <w:tc>
          <w:tcPr>
            <w:tcW w:w="1134"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 </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 </w:t>
            </w:r>
          </w:p>
        </w:tc>
        <w:tc>
          <w:tcPr>
            <w:tcW w:w="80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 </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 </w:t>
            </w:r>
          </w:p>
        </w:tc>
      </w:tr>
      <w:tr w:rsidR="00A820A4" w:rsidRPr="008A46CC" w:rsidTr="008A46CC">
        <w:trPr>
          <w:trHeight w:val="25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1. Yüzde 20 En Yoksul</w:t>
            </w:r>
          </w:p>
        </w:tc>
        <w:tc>
          <w:tcPr>
            <w:tcW w:w="1134"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207,3%</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125,1%</w:t>
            </w:r>
          </w:p>
        </w:tc>
        <w:tc>
          <w:tcPr>
            <w:tcW w:w="80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46,0%</w:t>
            </w:r>
          </w:p>
        </w:tc>
        <w:tc>
          <w:tcPr>
            <w:tcW w:w="850"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26,8%</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6,5%</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2,9%</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0,2%</w:t>
            </w:r>
          </w:p>
        </w:tc>
      </w:tr>
      <w:tr w:rsidR="00A820A4" w:rsidRPr="008A46CC" w:rsidTr="008A46CC">
        <w:trPr>
          <w:trHeight w:val="25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 Yüzde 20</w:t>
            </w:r>
          </w:p>
        </w:tc>
        <w:tc>
          <w:tcPr>
            <w:tcW w:w="1134"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204,5%</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123,0%</w:t>
            </w:r>
          </w:p>
        </w:tc>
        <w:tc>
          <w:tcPr>
            <w:tcW w:w="80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46,0%</w:t>
            </w:r>
          </w:p>
        </w:tc>
        <w:tc>
          <w:tcPr>
            <w:tcW w:w="850"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26,9%</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6,7%</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3,0%</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0,4%</w:t>
            </w:r>
          </w:p>
        </w:tc>
      </w:tr>
      <w:tr w:rsidR="00A820A4" w:rsidRPr="008A46CC" w:rsidTr="008A46CC">
        <w:trPr>
          <w:trHeight w:val="25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3. Yüzde 20</w:t>
            </w:r>
          </w:p>
        </w:tc>
        <w:tc>
          <w:tcPr>
            <w:tcW w:w="1134"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205,1%</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121,6%</w:t>
            </w:r>
          </w:p>
        </w:tc>
        <w:tc>
          <w:tcPr>
            <w:tcW w:w="80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45,9%</w:t>
            </w:r>
          </w:p>
        </w:tc>
        <w:tc>
          <w:tcPr>
            <w:tcW w:w="850"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26,9%</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7,0%</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3,2%</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0,4%</w:t>
            </w:r>
          </w:p>
        </w:tc>
      </w:tr>
      <w:tr w:rsidR="00A820A4" w:rsidRPr="008A46CC" w:rsidTr="008A46CC">
        <w:trPr>
          <w:trHeight w:val="25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4. Yüzde 20</w:t>
            </w:r>
          </w:p>
        </w:tc>
        <w:tc>
          <w:tcPr>
            <w:tcW w:w="1134"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205,1%</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121,6%</w:t>
            </w:r>
          </w:p>
        </w:tc>
        <w:tc>
          <w:tcPr>
            <w:tcW w:w="80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45,9%</w:t>
            </w:r>
          </w:p>
        </w:tc>
        <w:tc>
          <w:tcPr>
            <w:tcW w:w="850"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26,9%</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7,0%</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3,2%</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0,4%</w:t>
            </w:r>
          </w:p>
        </w:tc>
      </w:tr>
      <w:tr w:rsidR="00A820A4" w:rsidRPr="008A46CC" w:rsidTr="008A46CC">
        <w:trPr>
          <w:trHeight w:val="25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5. Yüzde 20 En Zengin</w:t>
            </w:r>
          </w:p>
        </w:tc>
        <w:tc>
          <w:tcPr>
            <w:tcW w:w="1134"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196,0%</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114,7%</w:t>
            </w:r>
          </w:p>
        </w:tc>
        <w:tc>
          <w:tcPr>
            <w:tcW w:w="80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46,3%</w:t>
            </w:r>
          </w:p>
        </w:tc>
        <w:tc>
          <w:tcPr>
            <w:tcW w:w="850"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27,9%</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7,7%</w:t>
            </w:r>
          </w:p>
        </w:tc>
        <w:tc>
          <w:tcPr>
            <w:tcW w:w="992"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3,6%</w:t>
            </w:r>
          </w:p>
        </w:tc>
        <w:tc>
          <w:tcPr>
            <w:tcW w:w="709" w:type="dxa"/>
            <w:tcBorders>
              <w:top w:val="nil"/>
              <w:left w:val="nil"/>
              <w:bottom w:val="single" w:sz="4" w:space="0" w:color="auto"/>
              <w:right w:val="single" w:sz="4" w:space="0" w:color="auto"/>
            </w:tcBorders>
            <w:shd w:val="clear" w:color="auto" w:fill="auto"/>
            <w:noWrap/>
            <w:vAlign w:val="bottom"/>
            <w:hideMark/>
          </w:tcPr>
          <w:p w:rsidR="00A820A4" w:rsidRPr="008A46CC" w:rsidRDefault="00A820A4" w:rsidP="00CE3E0D">
            <w:pPr>
              <w:spacing w:after="0" w:line="240" w:lineRule="auto"/>
              <w:jc w:val="right"/>
              <w:rPr>
                <w:rFonts w:asciiTheme="majorHAnsi" w:eastAsia="Times New Roman" w:hAnsiTheme="majorHAnsi" w:cs="Arial"/>
                <w:sz w:val="20"/>
                <w:szCs w:val="20"/>
                <w:lang w:val="tr-TR" w:eastAsia="tr-TR"/>
              </w:rPr>
            </w:pPr>
            <w:r w:rsidRPr="008A46CC">
              <w:rPr>
                <w:rFonts w:asciiTheme="majorHAnsi" w:eastAsia="Times New Roman" w:hAnsiTheme="majorHAnsi" w:cs="Arial"/>
                <w:sz w:val="20"/>
                <w:szCs w:val="20"/>
                <w:lang w:val="tr-TR" w:eastAsia="tr-TR"/>
              </w:rPr>
              <w:t>0,8%</w:t>
            </w:r>
          </w:p>
        </w:tc>
      </w:tr>
    </w:tbl>
    <w:p w:rsidR="00CE3E0D" w:rsidRDefault="00CE3E0D" w:rsidP="00CE3E0D">
      <w:pPr>
        <w:pStyle w:val="NormalWeb"/>
        <w:spacing w:before="0" w:beforeAutospacing="0" w:after="0" w:afterAutospacing="0"/>
        <w:jc w:val="both"/>
        <w:rPr>
          <w:rFonts w:asciiTheme="majorHAnsi" w:hAnsiTheme="majorHAnsi"/>
          <w:i/>
          <w:color w:val="000000"/>
          <w:shd w:val="clear" w:color="auto" w:fill="FFFFFF"/>
        </w:rPr>
      </w:pPr>
    </w:p>
    <w:p w:rsidR="00581404" w:rsidRPr="008A46CC" w:rsidRDefault="00A820A4" w:rsidP="008A46CC">
      <w:pPr>
        <w:pStyle w:val="NormalWeb"/>
        <w:spacing w:before="0" w:beforeAutospacing="0" w:after="0" w:afterAutospacing="0"/>
        <w:jc w:val="both"/>
        <w:rPr>
          <w:sz w:val="20"/>
          <w:szCs w:val="20"/>
        </w:rPr>
      </w:pPr>
      <w:bookmarkStart w:id="8" w:name="_GoBack"/>
      <w:r w:rsidRPr="008A46CC">
        <w:rPr>
          <w:rFonts w:asciiTheme="majorHAnsi" w:hAnsiTheme="majorHAnsi"/>
          <w:i/>
          <w:color w:val="000000"/>
          <w:sz w:val="20"/>
          <w:szCs w:val="20"/>
          <w:shd w:val="clear" w:color="auto" w:fill="FFFFFF"/>
        </w:rPr>
        <w:t>Raporun geniş hali 6 Haziran 2016 tarihinde Birleşik Metal iş Sendikası web sitesinden yayınlanacaktır.</w:t>
      </w:r>
      <w:bookmarkEnd w:id="8"/>
    </w:p>
    <w:sectPr w:rsidR="00581404" w:rsidRPr="008A46CC" w:rsidSect="00D55C7D">
      <w:footerReference w:type="default" r:id="rId13"/>
      <w:pgSz w:w="11906" w:h="16838"/>
      <w:pgMar w:top="709"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0F6" w:rsidRDefault="008830F6" w:rsidP="00581404">
      <w:pPr>
        <w:spacing w:after="0" w:line="240" w:lineRule="auto"/>
      </w:pPr>
      <w:r>
        <w:separator/>
      </w:r>
    </w:p>
  </w:endnote>
  <w:endnote w:type="continuationSeparator" w:id="0">
    <w:p w:rsidR="008830F6" w:rsidRDefault="008830F6" w:rsidP="00581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875017"/>
      <w:docPartObj>
        <w:docPartGallery w:val="Page Numbers (Bottom of Page)"/>
        <w:docPartUnique/>
      </w:docPartObj>
    </w:sdtPr>
    <w:sdtEndPr/>
    <w:sdtContent>
      <w:p w:rsidR="000D0014" w:rsidRDefault="00B21389">
        <w:pPr>
          <w:pStyle w:val="Altbilgi"/>
          <w:jc w:val="center"/>
        </w:pPr>
        <w:r>
          <w:fldChar w:fldCharType="begin"/>
        </w:r>
        <w:r w:rsidR="000D0014">
          <w:instrText>PAGE   \* MERGEFORMAT</w:instrText>
        </w:r>
        <w:r>
          <w:fldChar w:fldCharType="separate"/>
        </w:r>
        <w:r w:rsidR="008A46CC" w:rsidRPr="008A46CC">
          <w:rPr>
            <w:noProof/>
            <w:lang w:val="tr-TR"/>
          </w:rPr>
          <w:t>5</w:t>
        </w:r>
        <w:r>
          <w:fldChar w:fldCharType="end"/>
        </w:r>
      </w:p>
    </w:sdtContent>
  </w:sdt>
  <w:p w:rsidR="000D0014" w:rsidRDefault="000D001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0F6" w:rsidRDefault="008830F6" w:rsidP="00581404">
      <w:pPr>
        <w:spacing w:after="0" w:line="240" w:lineRule="auto"/>
      </w:pPr>
      <w:r>
        <w:separator/>
      </w:r>
    </w:p>
  </w:footnote>
  <w:footnote w:type="continuationSeparator" w:id="0">
    <w:p w:rsidR="008830F6" w:rsidRDefault="008830F6" w:rsidP="005814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E39"/>
    <w:multiLevelType w:val="hybridMultilevel"/>
    <w:tmpl w:val="09A6A6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3548A5"/>
    <w:multiLevelType w:val="hybridMultilevel"/>
    <w:tmpl w:val="D71CECA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 w15:restartNumberingAfterBreak="0">
    <w:nsid w:val="3DFA58EC"/>
    <w:multiLevelType w:val="hybridMultilevel"/>
    <w:tmpl w:val="46688C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69AA6625"/>
    <w:multiLevelType w:val="hybridMultilevel"/>
    <w:tmpl w:val="C11CFE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A0922CA"/>
    <w:multiLevelType w:val="hybridMultilevel"/>
    <w:tmpl w:val="AD9EF48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03DE"/>
    <w:rsid w:val="00006F68"/>
    <w:rsid w:val="00021134"/>
    <w:rsid w:val="00021A94"/>
    <w:rsid w:val="0005581B"/>
    <w:rsid w:val="00062392"/>
    <w:rsid w:val="000A6EE2"/>
    <w:rsid w:val="000D0014"/>
    <w:rsid w:val="000E6D3B"/>
    <w:rsid w:val="001125F1"/>
    <w:rsid w:val="0016514F"/>
    <w:rsid w:val="0018582D"/>
    <w:rsid w:val="001E44F9"/>
    <w:rsid w:val="001E7EAB"/>
    <w:rsid w:val="00221A92"/>
    <w:rsid w:val="00241F53"/>
    <w:rsid w:val="002503DE"/>
    <w:rsid w:val="00252A6A"/>
    <w:rsid w:val="002615B9"/>
    <w:rsid w:val="002D1218"/>
    <w:rsid w:val="002F461C"/>
    <w:rsid w:val="00382492"/>
    <w:rsid w:val="00390317"/>
    <w:rsid w:val="003C28A9"/>
    <w:rsid w:val="00403BF0"/>
    <w:rsid w:val="004A46AE"/>
    <w:rsid w:val="004D180E"/>
    <w:rsid w:val="004D375A"/>
    <w:rsid w:val="004E04A3"/>
    <w:rsid w:val="004E7BE0"/>
    <w:rsid w:val="00503270"/>
    <w:rsid w:val="005611D7"/>
    <w:rsid w:val="00581404"/>
    <w:rsid w:val="006926B7"/>
    <w:rsid w:val="00694DDB"/>
    <w:rsid w:val="006B359D"/>
    <w:rsid w:val="006C2E74"/>
    <w:rsid w:val="00740120"/>
    <w:rsid w:val="007819F3"/>
    <w:rsid w:val="007C7FE2"/>
    <w:rsid w:val="007D5585"/>
    <w:rsid w:val="008331A6"/>
    <w:rsid w:val="00834EAF"/>
    <w:rsid w:val="008830F6"/>
    <w:rsid w:val="0088474B"/>
    <w:rsid w:val="008918ED"/>
    <w:rsid w:val="00893FF0"/>
    <w:rsid w:val="00897B20"/>
    <w:rsid w:val="008A46CC"/>
    <w:rsid w:val="008A508F"/>
    <w:rsid w:val="008B0DA1"/>
    <w:rsid w:val="00900C65"/>
    <w:rsid w:val="0091585E"/>
    <w:rsid w:val="009D196D"/>
    <w:rsid w:val="009E1A64"/>
    <w:rsid w:val="009F1DF3"/>
    <w:rsid w:val="00A50312"/>
    <w:rsid w:val="00A5368A"/>
    <w:rsid w:val="00A67A44"/>
    <w:rsid w:val="00A820A4"/>
    <w:rsid w:val="00A962AE"/>
    <w:rsid w:val="00B21389"/>
    <w:rsid w:val="00B264A5"/>
    <w:rsid w:val="00B50C1C"/>
    <w:rsid w:val="00B549BC"/>
    <w:rsid w:val="00B836EB"/>
    <w:rsid w:val="00C22B7B"/>
    <w:rsid w:val="00C316CB"/>
    <w:rsid w:val="00C4269E"/>
    <w:rsid w:val="00C7583E"/>
    <w:rsid w:val="00C9046D"/>
    <w:rsid w:val="00CA00F8"/>
    <w:rsid w:val="00CB037D"/>
    <w:rsid w:val="00CE3E0D"/>
    <w:rsid w:val="00CF6EBB"/>
    <w:rsid w:val="00D13DEE"/>
    <w:rsid w:val="00D21D52"/>
    <w:rsid w:val="00D30350"/>
    <w:rsid w:val="00D55C7D"/>
    <w:rsid w:val="00D66A38"/>
    <w:rsid w:val="00D90C98"/>
    <w:rsid w:val="00DB602E"/>
    <w:rsid w:val="00EB67A6"/>
    <w:rsid w:val="00F0693D"/>
    <w:rsid w:val="00F1256E"/>
    <w:rsid w:val="00FA1CEB"/>
    <w:rsid w:val="00FA2DC3"/>
    <w:rsid w:val="00FC5A5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929F1D7-9E92-485C-B077-F3282B7E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B60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paragraph" w:styleId="DipnotMetni">
    <w:name w:val="footnote text"/>
    <w:basedOn w:val="Normal"/>
    <w:link w:val="DipnotMetniChar"/>
    <w:uiPriority w:val="99"/>
    <w:semiHidden/>
    <w:unhideWhenUsed/>
    <w:rsid w:val="00581404"/>
    <w:pPr>
      <w:spacing w:after="0" w:line="240" w:lineRule="auto"/>
    </w:pPr>
    <w:rPr>
      <w:rFonts w:asciiTheme="minorHAnsi" w:eastAsiaTheme="minorHAnsi" w:hAnsiTheme="minorHAnsi" w:cstheme="minorBidi"/>
      <w:sz w:val="20"/>
      <w:szCs w:val="20"/>
      <w:lang w:val="tr-TR" w:bidi="ar-SA"/>
    </w:rPr>
  </w:style>
  <w:style w:type="character" w:customStyle="1" w:styleId="DipnotMetniChar">
    <w:name w:val="Dipnot Metni Char"/>
    <w:basedOn w:val="VarsaylanParagrafYazTipi"/>
    <w:link w:val="DipnotMetni"/>
    <w:uiPriority w:val="99"/>
    <w:semiHidden/>
    <w:rsid w:val="00581404"/>
    <w:rPr>
      <w:sz w:val="20"/>
      <w:szCs w:val="20"/>
    </w:rPr>
  </w:style>
  <w:style w:type="character" w:styleId="DipnotBavurusu">
    <w:name w:val="footnote reference"/>
    <w:basedOn w:val="VarsaylanParagrafYazTipi"/>
    <w:uiPriority w:val="99"/>
    <w:semiHidden/>
    <w:unhideWhenUsed/>
    <w:rsid w:val="00581404"/>
    <w:rPr>
      <w:vertAlign w:val="superscript"/>
    </w:rPr>
  </w:style>
  <w:style w:type="character" w:customStyle="1" w:styleId="Balk1Char">
    <w:name w:val="Başlık 1 Char"/>
    <w:basedOn w:val="VarsaylanParagrafYazTipi"/>
    <w:link w:val="Balk1"/>
    <w:uiPriority w:val="9"/>
    <w:rsid w:val="00DB602E"/>
    <w:rPr>
      <w:rFonts w:asciiTheme="majorHAnsi" w:eastAsiaTheme="majorEastAsia" w:hAnsiTheme="majorHAnsi" w:cstheme="majorBidi"/>
      <w:color w:val="365F91" w:themeColor="accent1" w:themeShade="BF"/>
      <w:sz w:val="32"/>
      <w:szCs w:val="32"/>
      <w:lang w:val="en-US" w:bidi="en-US"/>
    </w:rPr>
  </w:style>
  <w:style w:type="paragraph" w:styleId="stbilgi">
    <w:name w:val="header"/>
    <w:basedOn w:val="Normal"/>
    <w:link w:val="stbilgiChar"/>
    <w:uiPriority w:val="99"/>
    <w:unhideWhenUsed/>
    <w:rsid w:val="000D001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D0014"/>
    <w:rPr>
      <w:rFonts w:ascii="Cambria" w:eastAsia="Calibri" w:hAnsi="Cambria" w:cs="Times New Roman"/>
      <w:lang w:val="en-US" w:bidi="en-US"/>
    </w:rPr>
  </w:style>
  <w:style w:type="paragraph" w:styleId="Altbilgi">
    <w:name w:val="footer"/>
    <w:basedOn w:val="Normal"/>
    <w:link w:val="AltbilgiChar"/>
    <w:uiPriority w:val="99"/>
    <w:unhideWhenUsed/>
    <w:rsid w:val="000D001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D0014"/>
    <w:rPr>
      <w:rFonts w:ascii="Cambria" w:eastAsia="Calibri" w:hAnsi="Cambria" w:cs="Times New Roman"/>
      <w:lang w:val="en-US" w:bidi="en-US"/>
    </w:rPr>
  </w:style>
  <w:style w:type="character" w:customStyle="1" w:styleId="apple-style-span">
    <w:name w:val="apple-style-span"/>
    <w:basedOn w:val="VarsaylanParagrafYazTipi"/>
    <w:rsid w:val="00A820A4"/>
  </w:style>
  <w:style w:type="character" w:customStyle="1" w:styleId="apple-converted-space">
    <w:name w:val="apple-converted-space"/>
    <w:basedOn w:val="VarsaylanParagrafYazTipi"/>
    <w:rsid w:val="00A820A4"/>
  </w:style>
  <w:style w:type="paragraph" w:styleId="NormalWeb">
    <w:name w:val="Normal (Web)"/>
    <w:basedOn w:val="Normal"/>
    <w:uiPriority w:val="99"/>
    <w:unhideWhenUsed/>
    <w:rsid w:val="00A820A4"/>
    <w:pPr>
      <w:spacing w:before="100" w:beforeAutospacing="1" w:after="100" w:afterAutospacing="1" w:line="240" w:lineRule="auto"/>
    </w:pPr>
    <w:rPr>
      <w:rFonts w:ascii="Times New Roman" w:eastAsia="Times New Roman" w:hAnsi="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32826">
      <w:bodyDiv w:val="1"/>
      <w:marLeft w:val="0"/>
      <w:marRight w:val="0"/>
      <w:marTop w:val="0"/>
      <w:marBottom w:val="0"/>
      <w:divBdr>
        <w:top w:val="none" w:sz="0" w:space="0" w:color="auto"/>
        <w:left w:val="none" w:sz="0" w:space="0" w:color="auto"/>
        <w:bottom w:val="none" w:sz="0" w:space="0" w:color="auto"/>
        <w:right w:val="none" w:sz="0" w:space="0" w:color="auto"/>
      </w:divBdr>
    </w:div>
    <w:div w:id="1689453684">
      <w:bodyDiv w:val="1"/>
      <w:marLeft w:val="0"/>
      <w:marRight w:val="0"/>
      <w:marTop w:val="0"/>
      <w:marBottom w:val="0"/>
      <w:divBdr>
        <w:top w:val="none" w:sz="0" w:space="0" w:color="auto"/>
        <w:left w:val="none" w:sz="0" w:space="0" w:color="auto"/>
        <w:bottom w:val="none" w:sz="0" w:space="0" w:color="auto"/>
        <w:right w:val="none" w:sz="0" w:space="0" w:color="auto"/>
      </w:divBdr>
    </w:div>
    <w:div w:id="206309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Y&#214;N-5\Downloads\Enflasyon_kalip.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Y&#214;N-5\Downloads\Enflasyon_kalip.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Y&#214;N-5\Downloads\Enflasyon_kalip.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Y&#214;N-5\Downloads\Enflasyon_kalip.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Pt>
            <c:idx val="0"/>
            <c:invertIfNegative val="0"/>
            <c:bubble3D val="0"/>
            <c:spPr>
              <a:solidFill>
                <a:srgbClr val="FF000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Sonuçlar!$O$50:$O$56</c:f>
              <c:strCache>
                <c:ptCount val="7"/>
                <c:pt idx="0">
                  <c:v>TÜFE</c:v>
                </c:pt>
                <c:pt idx="1">
                  <c:v>Ücretsiz Aile Çalışanları</c:v>
                </c:pt>
                <c:pt idx="2">
                  <c:v>İşverenler</c:v>
                </c:pt>
                <c:pt idx="3">
                  <c:v>Kendi Hesabına Çalışanlar</c:v>
                </c:pt>
                <c:pt idx="4">
                  <c:v>Düzenli Ücretli Çalışanlar</c:v>
                </c:pt>
                <c:pt idx="5">
                  <c:v>Çalışmayanlar</c:v>
                </c:pt>
                <c:pt idx="6">
                  <c:v>Yevmiyeli (Gündelik) Çalışanlar</c:v>
                </c:pt>
              </c:strCache>
            </c:strRef>
          </c:cat>
          <c:val>
            <c:numRef>
              <c:f>Sonuçlar!$P$50:$P$56</c:f>
              <c:numCache>
                <c:formatCode>0.0%</c:formatCode>
                <c:ptCount val="7"/>
                <c:pt idx="0">
                  <c:v>1.7789999999999997</c:v>
                </c:pt>
                <c:pt idx="1">
                  <c:v>1.9205614350882219</c:v>
                </c:pt>
                <c:pt idx="2">
                  <c:v>1.961541623201023</c:v>
                </c:pt>
                <c:pt idx="3">
                  <c:v>1.9638244193372314</c:v>
                </c:pt>
                <c:pt idx="4">
                  <c:v>1.9966236210460064</c:v>
                </c:pt>
                <c:pt idx="5">
                  <c:v>2.0586360082444242</c:v>
                </c:pt>
                <c:pt idx="6">
                  <c:v>2.1276632177051322</c:v>
                </c:pt>
              </c:numCache>
            </c:numRef>
          </c:val>
        </c:ser>
        <c:dLbls>
          <c:showLegendKey val="0"/>
          <c:showVal val="0"/>
          <c:showCatName val="0"/>
          <c:showSerName val="0"/>
          <c:showPercent val="0"/>
          <c:showBubbleSize val="0"/>
        </c:dLbls>
        <c:gapWidth val="150"/>
        <c:shape val="box"/>
        <c:axId val="162047056"/>
        <c:axId val="162047440"/>
        <c:axId val="0"/>
      </c:bar3DChart>
      <c:catAx>
        <c:axId val="162047056"/>
        <c:scaling>
          <c:orientation val="minMax"/>
        </c:scaling>
        <c:delete val="0"/>
        <c:axPos val="l"/>
        <c:numFmt formatCode="General" sourceLinked="0"/>
        <c:majorTickMark val="out"/>
        <c:minorTickMark val="none"/>
        <c:tickLblPos val="nextTo"/>
        <c:txPr>
          <a:bodyPr/>
          <a:lstStyle/>
          <a:p>
            <a:pPr>
              <a:defRPr sz="800"/>
            </a:pPr>
            <a:endParaRPr lang="tr-TR"/>
          </a:p>
        </c:txPr>
        <c:crossAx val="162047440"/>
        <c:crosses val="autoZero"/>
        <c:auto val="1"/>
        <c:lblAlgn val="ctr"/>
        <c:lblOffset val="100"/>
        <c:noMultiLvlLbl val="0"/>
      </c:catAx>
      <c:valAx>
        <c:axId val="162047440"/>
        <c:scaling>
          <c:orientation val="minMax"/>
        </c:scaling>
        <c:delete val="0"/>
        <c:axPos val="b"/>
        <c:majorGridlines/>
        <c:numFmt formatCode="0%" sourceLinked="0"/>
        <c:majorTickMark val="out"/>
        <c:minorTickMark val="none"/>
        <c:tickLblPos val="nextTo"/>
        <c:crossAx val="1620470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Pt>
            <c:idx val="0"/>
            <c:invertIfNegative val="0"/>
            <c:bubble3D val="0"/>
            <c:spPr>
              <a:solidFill>
                <a:srgbClr val="FF000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Sonuçlar!$O$77:$O$83</c:f>
              <c:strCache>
                <c:ptCount val="7"/>
                <c:pt idx="0">
                  <c:v>TÜFE</c:v>
                </c:pt>
                <c:pt idx="1">
                  <c:v>Ücretsiz Aile Çalışanları</c:v>
                </c:pt>
                <c:pt idx="2">
                  <c:v>Kendi Hesabına Çalışanlar</c:v>
                </c:pt>
                <c:pt idx="3">
                  <c:v>Yevmiyeli (Gündelik) Çalışanlar</c:v>
                </c:pt>
                <c:pt idx="4">
                  <c:v>Çalışmayanlar</c:v>
                </c:pt>
                <c:pt idx="5">
                  <c:v>Düzenli Ücretli Çalışanlar</c:v>
                </c:pt>
                <c:pt idx="6">
                  <c:v>İşverenler</c:v>
                </c:pt>
              </c:strCache>
            </c:strRef>
          </c:cat>
          <c:val>
            <c:numRef>
              <c:f>Sonuçlar!$P$77:$P$83</c:f>
              <c:numCache>
                <c:formatCode>0.00%</c:formatCode>
                <c:ptCount val="7"/>
                <c:pt idx="0">
                  <c:v>6.5823270078589013E-2</c:v>
                </c:pt>
                <c:pt idx="1">
                  <c:v>6.7953664639379477E-2</c:v>
                </c:pt>
                <c:pt idx="2">
                  <c:v>6.8105681391740461E-2</c:v>
                </c:pt>
                <c:pt idx="3">
                  <c:v>7.0306504102402703E-2</c:v>
                </c:pt>
                <c:pt idx="4">
                  <c:v>7.0621658933069487E-2</c:v>
                </c:pt>
                <c:pt idx="5">
                  <c:v>7.3797761594606395E-2</c:v>
                </c:pt>
                <c:pt idx="6">
                  <c:v>7.671320431400043E-2</c:v>
                </c:pt>
              </c:numCache>
            </c:numRef>
          </c:val>
        </c:ser>
        <c:dLbls>
          <c:showLegendKey val="0"/>
          <c:showVal val="0"/>
          <c:showCatName val="0"/>
          <c:showSerName val="0"/>
          <c:showPercent val="0"/>
          <c:showBubbleSize val="0"/>
        </c:dLbls>
        <c:gapWidth val="150"/>
        <c:shape val="box"/>
        <c:axId val="162059960"/>
        <c:axId val="162300808"/>
        <c:axId val="0"/>
      </c:bar3DChart>
      <c:catAx>
        <c:axId val="162059960"/>
        <c:scaling>
          <c:orientation val="minMax"/>
        </c:scaling>
        <c:delete val="0"/>
        <c:axPos val="l"/>
        <c:numFmt formatCode="General" sourceLinked="0"/>
        <c:majorTickMark val="out"/>
        <c:minorTickMark val="none"/>
        <c:tickLblPos val="nextTo"/>
        <c:crossAx val="162300808"/>
        <c:crosses val="autoZero"/>
        <c:auto val="1"/>
        <c:lblAlgn val="ctr"/>
        <c:lblOffset val="100"/>
        <c:noMultiLvlLbl val="0"/>
      </c:catAx>
      <c:valAx>
        <c:axId val="162300808"/>
        <c:scaling>
          <c:orientation val="minMax"/>
        </c:scaling>
        <c:delete val="0"/>
        <c:axPos val="b"/>
        <c:majorGridlines/>
        <c:numFmt formatCode="0.00%" sourceLinked="1"/>
        <c:majorTickMark val="out"/>
        <c:minorTickMark val="none"/>
        <c:tickLblPos val="nextTo"/>
        <c:crossAx val="16205996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Pt>
            <c:idx val="0"/>
            <c:invertIfNegative val="0"/>
            <c:bubble3D val="0"/>
            <c:spPr>
              <a:solidFill>
                <a:srgbClr val="FF0000"/>
              </a:solidFill>
            </c:spPr>
          </c:dPt>
          <c:dLbls>
            <c:spPr>
              <a:noFill/>
              <a:ln>
                <a:noFill/>
              </a:ln>
              <a:effectLst/>
            </c:spPr>
            <c:txPr>
              <a:bodyPr/>
              <a:lstStyle/>
              <a:p>
                <a:pPr>
                  <a:defRPr b="1"/>
                </a:pPr>
                <a:endParaRPr lang="tr-T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Sonuçlar!$E$88:$E$98</c:f>
              <c:strCache>
                <c:ptCount val="11"/>
                <c:pt idx="0">
                  <c:v>TÜFE</c:v>
                </c:pt>
                <c:pt idx="1">
                  <c:v> Profesyonel Meslek Mensupları</c:v>
                </c:pt>
                <c:pt idx="2">
                  <c:v>Nitelikli Tarım, Ormancılık Ve Su Ürünleri Çalışanları</c:v>
                </c:pt>
                <c:pt idx="3">
                  <c:v>Yöneticiler</c:v>
                </c:pt>
                <c:pt idx="4">
                  <c:v>Teknisyenler, Teknikerler Ve Yardımcı Profesyonel Meslek Mensupları</c:v>
                </c:pt>
                <c:pt idx="5">
                  <c:v>Hizmet Ve Satış Elemanları</c:v>
                </c:pt>
                <c:pt idx="6">
                  <c:v>Büro Hizmetlerinde Çalışan Elemanlar</c:v>
                </c:pt>
                <c:pt idx="7">
                  <c:v>Sanatkarlar Ve İlgili İşlerde Çalışanlar</c:v>
                </c:pt>
                <c:pt idx="8">
                  <c:v>Çalışmayanlar</c:v>
                </c:pt>
                <c:pt idx="9">
                  <c:v>Tesis Ve Makine Operatörleri Ve Montajcılar</c:v>
                </c:pt>
                <c:pt idx="10">
                  <c:v>Nitelik Gerektirmeyen İşlerde Çalışanlar</c:v>
                </c:pt>
              </c:strCache>
            </c:strRef>
          </c:cat>
          <c:val>
            <c:numRef>
              <c:f>Sonuçlar!$F$88:$F$98</c:f>
              <c:numCache>
                <c:formatCode>0%</c:formatCode>
                <c:ptCount val="11"/>
                <c:pt idx="0">
                  <c:v>1.7789999999999997</c:v>
                </c:pt>
                <c:pt idx="1">
                  <c:v>1.9124253714285706</c:v>
                </c:pt>
                <c:pt idx="2">
                  <c:v>1.947406191178175</c:v>
                </c:pt>
                <c:pt idx="3">
                  <c:v>1.9662129627191629</c:v>
                </c:pt>
                <c:pt idx="4">
                  <c:v>1.9722807124668769</c:v>
                </c:pt>
                <c:pt idx="5">
                  <c:v>2.0081128966181008</c:v>
                </c:pt>
                <c:pt idx="6">
                  <c:v>2.0197307352220628</c:v>
                </c:pt>
                <c:pt idx="7">
                  <c:v>2.0209860467225296</c:v>
                </c:pt>
                <c:pt idx="8">
                  <c:v>2.0586360082444242</c:v>
                </c:pt>
                <c:pt idx="9">
                  <c:v>2.0805884468800677</c:v>
                </c:pt>
                <c:pt idx="10">
                  <c:v>2.0899924793120643</c:v>
                </c:pt>
              </c:numCache>
            </c:numRef>
          </c:val>
        </c:ser>
        <c:dLbls>
          <c:showLegendKey val="0"/>
          <c:showVal val="0"/>
          <c:showCatName val="0"/>
          <c:showSerName val="0"/>
          <c:showPercent val="0"/>
          <c:showBubbleSize val="0"/>
        </c:dLbls>
        <c:gapWidth val="150"/>
        <c:shape val="box"/>
        <c:axId val="162100112"/>
        <c:axId val="162100496"/>
        <c:axId val="0"/>
      </c:bar3DChart>
      <c:catAx>
        <c:axId val="162100112"/>
        <c:scaling>
          <c:orientation val="minMax"/>
        </c:scaling>
        <c:delete val="0"/>
        <c:axPos val="l"/>
        <c:numFmt formatCode="General" sourceLinked="0"/>
        <c:majorTickMark val="out"/>
        <c:minorTickMark val="none"/>
        <c:tickLblPos val="nextTo"/>
        <c:crossAx val="162100496"/>
        <c:crosses val="autoZero"/>
        <c:auto val="1"/>
        <c:lblAlgn val="ctr"/>
        <c:lblOffset val="100"/>
        <c:noMultiLvlLbl val="0"/>
      </c:catAx>
      <c:valAx>
        <c:axId val="162100496"/>
        <c:scaling>
          <c:orientation val="minMax"/>
        </c:scaling>
        <c:delete val="1"/>
        <c:axPos val="b"/>
        <c:majorGridlines/>
        <c:numFmt formatCode="0%" sourceLinked="1"/>
        <c:majorTickMark val="out"/>
        <c:minorTickMark val="none"/>
        <c:tickLblPos val="nextTo"/>
        <c:crossAx val="16210011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9.8960629921260021E-2"/>
          <c:y val="2.8252405949256338E-2"/>
          <c:w val="0.85659492563429573"/>
          <c:h val="0.89719889180519163"/>
        </c:manualLayout>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Sayfa1!$I$20:$I$27</c:f>
              <c:strCache>
                <c:ptCount val="8"/>
                <c:pt idx="0">
                  <c:v>Gıda</c:v>
                </c:pt>
                <c:pt idx="1">
                  <c:v>Kira</c:v>
                </c:pt>
                <c:pt idx="2">
                  <c:v>Okul öncesi eğitim</c:v>
                </c:pt>
                <c:pt idx="3">
                  <c:v>Su</c:v>
                </c:pt>
                <c:pt idx="4">
                  <c:v>Elektrik</c:v>
                </c:pt>
                <c:pt idx="5">
                  <c:v>Ulaştırma</c:v>
                </c:pt>
                <c:pt idx="6">
                  <c:v>Gazete, Kitap</c:v>
                </c:pt>
                <c:pt idx="7">
                  <c:v>Eğlence, Kültür</c:v>
                </c:pt>
              </c:strCache>
            </c:strRef>
          </c:cat>
          <c:val>
            <c:numRef>
              <c:f>Sayfa1!$J$20:$J$27</c:f>
              <c:numCache>
                <c:formatCode>0.00%</c:formatCode>
                <c:ptCount val="8"/>
                <c:pt idx="0">
                  <c:v>-4.7984539724079116E-2</c:v>
                </c:pt>
                <c:pt idx="1">
                  <c:v>-0.28904968619598176</c:v>
                </c:pt>
                <c:pt idx="2">
                  <c:v>-0.26735082657601972</c:v>
                </c:pt>
                <c:pt idx="3">
                  <c:v>-8.0313749246622934E-2</c:v>
                </c:pt>
                <c:pt idx="4">
                  <c:v>-8.9574791116006122E-2</c:v>
                </c:pt>
                <c:pt idx="5">
                  <c:v>-9.4096986875822172E-2</c:v>
                </c:pt>
                <c:pt idx="6">
                  <c:v>-0.20253542755932524</c:v>
                </c:pt>
                <c:pt idx="7">
                  <c:v>-4.1116484953498421E-2</c:v>
                </c:pt>
              </c:numCache>
            </c:numRef>
          </c:val>
        </c:ser>
        <c:dLbls>
          <c:showLegendKey val="0"/>
          <c:showVal val="0"/>
          <c:showCatName val="0"/>
          <c:showSerName val="0"/>
          <c:showPercent val="0"/>
          <c:showBubbleSize val="0"/>
        </c:dLbls>
        <c:gapWidth val="150"/>
        <c:shape val="box"/>
        <c:axId val="162201720"/>
        <c:axId val="162202104"/>
        <c:axId val="0"/>
      </c:bar3DChart>
      <c:catAx>
        <c:axId val="162201720"/>
        <c:scaling>
          <c:orientation val="minMax"/>
        </c:scaling>
        <c:delete val="0"/>
        <c:axPos val="b"/>
        <c:numFmt formatCode="#,##0.00\ \T\L" sourceLinked="0"/>
        <c:majorTickMark val="out"/>
        <c:minorTickMark val="none"/>
        <c:tickLblPos val="nextTo"/>
        <c:txPr>
          <a:bodyPr/>
          <a:lstStyle/>
          <a:p>
            <a:pPr>
              <a:defRPr sz="800" b="1"/>
            </a:pPr>
            <a:endParaRPr lang="tr-TR"/>
          </a:p>
        </c:txPr>
        <c:crossAx val="162202104"/>
        <c:crosses val="autoZero"/>
        <c:auto val="1"/>
        <c:lblAlgn val="ctr"/>
        <c:lblOffset val="100"/>
        <c:noMultiLvlLbl val="0"/>
      </c:catAx>
      <c:valAx>
        <c:axId val="162202104"/>
        <c:scaling>
          <c:orientation val="minMax"/>
        </c:scaling>
        <c:delete val="0"/>
        <c:axPos val="l"/>
        <c:majorGridlines/>
        <c:numFmt formatCode="0%" sourceLinked="0"/>
        <c:majorTickMark val="out"/>
        <c:minorTickMark val="none"/>
        <c:tickLblPos val="nextTo"/>
        <c:crossAx val="162201720"/>
        <c:crosses val="autoZero"/>
        <c:crossBetween val="between"/>
      </c:valAx>
      <c:spPr>
        <a:noFill/>
        <a:ln w="25400">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EE21A-BD29-437D-9720-E3B263A69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2065</Words>
  <Characters>11771</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9</cp:revision>
  <cp:lastPrinted>2016-04-28T10:50:00Z</cp:lastPrinted>
  <dcterms:created xsi:type="dcterms:W3CDTF">2016-06-03T12:14:00Z</dcterms:created>
  <dcterms:modified xsi:type="dcterms:W3CDTF">2016-06-03T14:26:00Z</dcterms:modified>
</cp:coreProperties>
</file>