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C002DD" w:rsidRDefault="00EB33D4" w:rsidP="00C002DD">
      <w:pPr>
        <w:jc w:val="right"/>
      </w:pPr>
      <w:r w:rsidRPr="00970A06">
        <w:rPr>
          <w:rFonts w:ascii="Times New Roman" w:hAnsi="Times New Roman"/>
          <w:b/>
          <w:sz w:val="18"/>
          <w:szCs w:val="18"/>
          <w:lang w:val="tr-TR"/>
        </w:rPr>
        <w:br/>
      </w:r>
      <w:r w:rsidR="00943DE7">
        <w:rPr>
          <w:rFonts w:asciiTheme="majorHAnsi" w:hAnsiTheme="majorHAnsi"/>
          <w:b/>
          <w:sz w:val="24"/>
          <w:szCs w:val="24"/>
          <w:lang w:val="tr-TR"/>
        </w:rPr>
        <w:t>03</w:t>
      </w:r>
      <w:r w:rsidR="00EE6535">
        <w:rPr>
          <w:rFonts w:asciiTheme="majorHAnsi" w:hAnsiTheme="majorHAnsi"/>
          <w:b/>
          <w:sz w:val="24"/>
          <w:szCs w:val="24"/>
          <w:lang w:val="tr-TR"/>
        </w:rPr>
        <w:t>.0</w:t>
      </w:r>
      <w:r w:rsidR="00943DE7">
        <w:rPr>
          <w:rFonts w:asciiTheme="majorHAnsi" w:hAnsiTheme="majorHAnsi"/>
          <w:b/>
          <w:sz w:val="24"/>
          <w:szCs w:val="24"/>
          <w:lang w:val="tr-TR"/>
        </w:rPr>
        <w:t>2</w:t>
      </w:r>
      <w:r w:rsidR="0092001C" w:rsidRPr="00E97808">
        <w:rPr>
          <w:rFonts w:asciiTheme="majorHAnsi" w:hAnsiTheme="majorHAnsi"/>
          <w:b/>
          <w:sz w:val="24"/>
          <w:szCs w:val="24"/>
          <w:lang w:val="tr-TR"/>
        </w:rPr>
        <w:t>.201</w:t>
      </w:r>
      <w:r w:rsidR="00444601" w:rsidRPr="00E97808">
        <w:rPr>
          <w:rFonts w:asciiTheme="majorHAnsi" w:hAnsiTheme="majorHAnsi"/>
          <w:b/>
          <w:sz w:val="24"/>
          <w:szCs w:val="24"/>
          <w:lang w:val="tr-TR"/>
        </w:rPr>
        <w:t>7</w:t>
      </w:r>
    </w:p>
    <w:p w:rsidR="00943DE7" w:rsidRPr="00943DE7" w:rsidRDefault="00943DE7" w:rsidP="00943DE7">
      <w:pPr>
        <w:spacing w:after="120"/>
        <w:jc w:val="center"/>
        <w:rPr>
          <w:rStyle w:val="apple-style-span"/>
          <w:rFonts w:ascii="Arial Narrow" w:hAnsi="Arial Narrow"/>
          <w:b/>
          <w:color w:val="000000"/>
          <w:sz w:val="32"/>
          <w:szCs w:val="32"/>
          <w:shd w:val="clear" w:color="auto" w:fill="FFFFFF"/>
          <w:lang w:val="tr-TR"/>
        </w:rPr>
      </w:pPr>
      <w:r w:rsidRPr="00943DE7">
        <w:rPr>
          <w:rStyle w:val="apple-style-span"/>
          <w:rFonts w:ascii="Arial Narrow" w:hAnsi="Arial Narrow"/>
          <w:b/>
          <w:color w:val="000000"/>
          <w:sz w:val="32"/>
          <w:szCs w:val="32"/>
          <w:shd w:val="clear" w:color="auto" w:fill="FFFFFF"/>
          <w:lang w:val="tr-TR"/>
        </w:rPr>
        <w:t>Birleşik Metal-İş Sendikası Sınıf Araştırmaları Merkezi (BİSAM)</w:t>
      </w:r>
    </w:p>
    <w:p w:rsidR="00943DE7" w:rsidRPr="00943DE7" w:rsidRDefault="00943DE7" w:rsidP="00943DE7">
      <w:pPr>
        <w:spacing w:after="120"/>
        <w:jc w:val="center"/>
        <w:rPr>
          <w:rStyle w:val="apple-style-span"/>
          <w:rFonts w:ascii="Arial Narrow" w:hAnsi="Arial Narrow"/>
          <w:b/>
          <w:color w:val="000000"/>
          <w:sz w:val="32"/>
          <w:szCs w:val="32"/>
          <w:shd w:val="clear" w:color="auto" w:fill="FFFFFF"/>
          <w:lang w:val="tr-TR"/>
        </w:rPr>
      </w:pPr>
      <w:r w:rsidRPr="00943DE7">
        <w:rPr>
          <w:rStyle w:val="apple-style-span"/>
          <w:rFonts w:ascii="Arial Narrow" w:hAnsi="Arial Narrow"/>
          <w:b/>
          <w:color w:val="000000"/>
          <w:sz w:val="32"/>
          <w:szCs w:val="32"/>
          <w:shd w:val="clear" w:color="auto" w:fill="FFFFFF"/>
          <w:lang w:val="tr-TR"/>
        </w:rPr>
        <w:t>Enflasyon ve Hayat Pahalılığı Dönem Raporu (OCAK 2017)</w:t>
      </w:r>
    </w:p>
    <w:p w:rsidR="00943DE7" w:rsidRPr="00943DE7" w:rsidRDefault="00943DE7" w:rsidP="00943DE7">
      <w:pPr>
        <w:spacing w:after="120" w:line="360" w:lineRule="auto"/>
        <w:jc w:val="center"/>
        <w:rPr>
          <w:rStyle w:val="apple-style-span"/>
          <w:b/>
          <w:color w:val="000000"/>
          <w:sz w:val="28"/>
          <w:szCs w:val="28"/>
          <w:shd w:val="clear" w:color="auto" w:fill="FFFFFF"/>
          <w:lang w:val="tr-TR"/>
        </w:rPr>
      </w:pPr>
      <w:proofErr w:type="gramStart"/>
      <w:r w:rsidRPr="00943DE7">
        <w:rPr>
          <w:rStyle w:val="apple-style-span"/>
          <w:b/>
          <w:color w:val="000000"/>
          <w:sz w:val="28"/>
          <w:szCs w:val="28"/>
          <w:shd w:val="clear" w:color="auto" w:fill="FFFFFF"/>
          <w:lang w:val="tr-TR"/>
        </w:rPr>
        <w:t>03/02/2017</w:t>
      </w:r>
      <w:proofErr w:type="gramEnd"/>
    </w:p>
    <w:p w:rsidR="00943DE7" w:rsidRPr="00943DE7" w:rsidRDefault="00943DE7" w:rsidP="00943DE7">
      <w:pPr>
        <w:tabs>
          <w:tab w:val="left" w:pos="3255"/>
        </w:tabs>
        <w:spacing w:line="360" w:lineRule="auto"/>
        <w:jc w:val="center"/>
        <w:rPr>
          <w:rStyle w:val="apple-style-span"/>
          <w:rFonts w:ascii="Arial Black" w:hAnsi="Arial Black"/>
          <w:b/>
          <w:color w:val="000000"/>
          <w:sz w:val="36"/>
          <w:szCs w:val="36"/>
          <w:shd w:val="clear" w:color="auto" w:fill="FFFFFF"/>
          <w:lang w:val="tr-TR"/>
        </w:rPr>
      </w:pPr>
      <w:r w:rsidRPr="00943DE7">
        <w:rPr>
          <w:rStyle w:val="apple-style-span"/>
          <w:rFonts w:ascii="Arial Black" w:hAnsi="Arial Black"/>
          <w:b/>
          <w:color w:val="000000"/>
          <w:sz w:val="36"/>
          <w:szCs w:val="36"/>
          <w:shd w:val="clear" w:color="auto" w:fill="FFFFFF"/>
          <w:lang w:val="tr-TR"/>
        </w:rPr>
        <w:t>ENFLASYONUN ADALETİ YOK!</w:t>
      </w:r>
    </w:p>
    <w:p w:rsidR="00943DE7" w:rsidRPr="00943DE7" w:rsidRDefault="00943DE7" w:rsidP="00943DE7">
      <w:pPr>
        <w:pStyle w:val="ListeParagraf"/>
        <w:numPr>
          <w:ilvl w:val="0"/>
          <w:numId w:val="18"/>
        </w:numPr>
        <w:spacing w:after="120" w:line="360" w:lineRule="auto"/>
        <w:ind w:left="714" w:hanging="357"/>
        <w:rPr>
          <w:rStyle w:val="apple-style-span"/>
          <w:rFonts w:ascii="Arial Narrow" w:hAnsi="Arial Narrow"/>
          <w:b/>
          <w:color w:val="000000"/>
          <w:sz w:val="24"/>
          <w:szCs w:val="24"/>
          <w:shd w:val="clear" w:color="auto" w:fill="FFFFFF"/>
          <w:lang w:val="tr-TR"/>
        </w:rPr>
      </w:pPr>
      <w:r w:rsidRPr="00943DE7">
        <w:rPr>
          <w:rStyle w:val="apple-style-span"/>
          <w:rFonts w:ascii="Arial Narrow" w:hAnsi="Arial Narrow"/>
          <w:b/>
          <w:color w:val="000000"/>
          <w:sz w:val="24"/>
          <w:szCs w:val="24"/>
          <w:shd w:val="clear" w:color="auto" w:fill="FFFFFF"/>
          <w:lang w:val="tr-TR"/>
        </w:rPr>
        <w:t>ENFLASYON HESAPLAMASI HERKESİ YOKSULLAŞTIRDI</w:t>
      </w:r>
    </w:p>
    <w:p w:rsidR="00943DE7" w:rsidRPr="00943DE7" w:rsidRDefault="00943DE7" w:rsidP="00943DE7">
      <w:pPr>
        <w:pStyle w:val="ListeParagraf"/>
        <w:numPr>
          <w:ilvl w:val="0"/>
          <w:numId w:val="18"/>
        </w:numPr>
        <w:spacing w:after="120" w:line="360" w:lineRule="auto"/>
        <w:ind w:left="714" w:hanging="357"/>
        <w:rPr>
          <w:rStyle w:val="apple-style-span"/>
          <w:rFonts w:ascii="Arial Narrow" w:hAnsi="Arial Narrow"/>
          <w:b/>
          <w:color w:val="000000"/>
          <w:sz w:val="24"/>
          <w:szCs w:val="24"/>
          <w:shd w:val="clear" w:color="auto" w:fill="FFFFFF"/>
          <w:lang w:val="tr-TR"/>
        </w:rPr>
      </w:pPr>
      <w:r w:rsidRPr="00943DE7">
        <w:rPr>
          <w:rStyle w:val="apple-style-span"/>
          <w:rFonts w:ascii="Arial Narrow" w:hAnsi="Arial Narrow"/>
          <w:b/>
          <w:color w:val="000000"/>
          <w:sz w:val="24"/>
          <w:szCs w:val="24"/>
          <w:shd w:val="clear" w:color="auto" w:fill="FFFFFF"/>
          <w:lang w:val="tr-TR"/>
        </w:rPr>
        <w:t>EN ÇOK YOKSULLAŞAN EN YOKSULLAR OLDU</w:t>
      </w:r>
    </w:p>
    <w:p w:rsidR="00943DE7" w:rsidRPr="00943DE7" w:rsidRDefault="00943DE7" w:rsidP="00943DE7">
      <w:pPr>
        <w:pStyle w:val="ListeParagraf"/>
        <w:numPr>
          <w:ilvl w:val="0"/>
          <w:numId w:val="18"/>
        </w:numPr>
        <w:spacing w:after="120" w:line="360" w:lineRule="auto"/>
        <w:ind w:left="714" w:hanging="357"/>
        <w:rPr>
          <w:rStyle w:val="apple-style-span"/>
          <w:rFonts w:ascii="Arial Narrow" w:hAnsi="Arial Narrow"/>
          <w:b/>
          <w:color w:val="000000"/>
          <w:sz w:val="24"/>
          <w:szCs w:val="24"/>
          <w:shd w:val="clear" w:color="auto" w:fill="FFFFFF"/>
          <w:lang w:val="tr-TR"/>
        </w:rPr>
      </w:pPr>
      <w:r w:rsidRPr="00943DE7">
        <w:rPr>
          <w:rStyle w:val="apple-style-span"/>
          <w:rFonts w:ascii="Arial Narrow" w:hAnsi="Arial Narrow"/>
          <w:b/>
          <w:color w:val="000000"/>
          <w:sz w:val="24"/>
          <w:szCs w:val="24"/>
          <w:shd w:val="clear" w:color="auto" w:fill="FFFFFF"/>
          <w:lang w:val="tr-TR"/>
        </w:rPr>
        <w:t>ALIM GÜCÜ TEMEL HARCAMA KALEMLERİNDE DÜŞTÜ</w:t>
      </w:r>
    </w:p>
    <w:p w:rsidR="00943DE7" w:rsidRPr="00943DE7" w:rsidRDefault="00943DE7" w:rsidP="00943DE7">
      <w:pPr>
        <w:pStyle w:val="ListeParagraf"/>
        <w:numPr>
          <w:ilvl w:val="0"/>
          <w:numId w:val="18"/>
        </w:numPr>
        <w:spacing w:after="120" w:line="360" w:lineRule="auto"/>
        <w:ind w:left="714" w:hanging="357"/>
        <w:rPr>
          <w:rStyle w:val="apple-style-span"/>
          <w:rFonts w:ascii="Arial Narrow" w:hAnsi="Arial Narrow"/>
          <w:b/>
          <w:color w:val="000000"/>
          <w:sz w:val="24"/>
          <w:szCs w:val="24"/>
          <w:shd w:val="clear" w:color="auto" w:fill="FFFFFF"/>
          <w:lang w:val="tr-TR"/>
        </w:rPr>
      </w:pPr>
      <w:r w:rsidRPr="00943DE7">
        <w:rPr>
          <w:rStyle w:val="apple-style-span"/>
          <w:rFonts w:ascii="Arial Narrow" w:hAnsi="Arial Narrow"/>
          <w:b/>
          <w:color w:val="000000"/>
          <w:sz w:val="24"/>
          <w:szCs w:val="24"/>
          <w:shd w:val="clear" w:color="auto" w:fill="FFFFFF"/>
          <w:lang w:val="tr-TR"/>
        </w:rPr>
        <w:t>OCAK ENFLASYONU ÜCRETLİLER İÇİN 9,6 OLDU</w:t>
      </w:r>
    </w:p>
    <w:p w:rsidR="00943DE7" w:rsidRPr="00943DE7" w:rsidRDefault="00943DE7" w:rsidP="00943DE7">
      <w:pPr>
        <w:pStyle w:val="ListeParagraf"/>
        <w:numPr>
          <w:ilvl w:val="0"/>
          <w:numId w:val="18"/>
        </w:numPr>
        <w:spacing w:after="120" w:line="360" w:lineRule="auto"/>
        <w:ind w:left="714" w:hanging="357"/>
        <w:rPr>
          <w:rStyle w:val="apple-style-span"/>
          <w:rFonts w:ascii="Arial Narrow" w:hAnsi="Arial Narrow"/>
          <w:b/>
          <w:color w:val="000000"/>
          <w:sz w:val="24"/>
          <w:szCs w:val="24"/>
          <w:shd w:val="clear" w:color="auto" w:fill="FFFFFF"/>
          <w:lang w:val="tr-TR"/>
        </w:rPr>
      </w:pPr>
      <w:r w:rsidRPr="00943DE7">
        <w:rPr>
          <w:rStyle w:val="apple-style-span"/>
          <w:rFonts w:ascii="Arial Narrow" w:hAnsi="Arial Narrow"/>
          <w:b/>
          <w:color w:val="000000"/>
          <w:sz w:val="24"/>
          <w:szCs w:val="24"/>
          <w:shd w:val="clear" w:color="auto" w:fill="FFFFFF"/>
          <w:lang w:val="tr-TR"/>
        </w:rPr>
        <w:t>TEMEL HARCAMA KALEMLERİNDE ENFLASYON İKİ HANELİ</w:t>
      </w:r>
    </w:p>
    <w:p w:rsidR="00943DE7" w:rsidRPr="00943DE7" w:rsidRDefault="00943DE7" w:rsidP="00BA09E3">
      <w:pPr>
        <w:spacing w:beforeLines="120" w:before="288" w:afterLines="120" w:after="288" w:line="240" w:lineRule="auto"/>
        <w:jc w:val="both"/>
        <w:rPr>
          <w:rStyle w:val="apple-style-span"/>
          <w:color w:val="000000"/>
          <w:shd w:val="clear" w:color="auto" w:fill="FFFFFF"/>
          <w:lang w:val="tr-TR"/>
        </w:rPr>
      </w:pPr>
      <w:r w:rsidRPr="00943DE7">
        <w:rPr>
          <w:rStyle w:val="apple-style-span"/>
          <w:color w:val="000000"/>
          <w:shd w:val="clear" w:color="auto" w:fill="FFFFFF"/>
          <w:lang w:val="tr-TR"/>
        </w:rPr>
        <w:t>Birleşik Metal İş Sendikası Sınıf Araştırmaları Merkezi (BİSAM) tarafından hazırlanan Enflasyon ve Hayat Pahalılığı Ocak 2017 Dönem Raporu’nun sonuçlarına göre TÜİK tarafından yüzde 9,22 olarak açıklanan aylık Tüketici Fiyat Endeksi’ndeki artış, yevmiyeli olarak çalışanlar için yüzde 9,67, düzenli ücretlilerde yüzde 9,60 olarak gerçekleşti. Enflasyondan en az etkilenenler yüzde 8,93 ile temel gelir kaynağı gayrimenkul kira geliri ve menkul kıymet faiz geliri olanlar belirlendi. Resmi olarak yüzde 2,46 olan ocak ayı enflasyonu ise en çok yüzde 2,97’lik artış ile nitelikli tarım ve ormancılık çalışanlarını vurdu. En yoksul % 20 için aylık enflasyon % 2,78 oldu.</w:t>
      </w:r>
    </w:p>
    <w:p w:rsidR="00943DE7" w:rsidRPr="00943DE7" w:rsidRDefault="00943DE7" w:rsidP="00BA09E3">
      <w:pPr>
        <w:spacing w:beforeLines="120" w:before="288" w:afterLines="120" w:after="288" w:line="240" w:lineRule="auto"/>
        <w:jc w:val="both"/>
        <w:rPr>
          <w:b/>
          <w:sz w:val="24"/>
          <w:szCs w:val="24"/>
          <w:lang w:val="tr-TR"/>
        </w:rPr>
      </w:pPr>
      <w:r w:rsidRPr="00943DE7">
        <w:rPr>
          <w:b/>
          <w:sz w:val="24"/>
          <w:szCs w:val="24"/>
          <w:lang w:val="tr-TR"/>
        </w:rPr>
        <w:t>YILLIK ENFLASYON KİRADA, ETTE, İLAÇTA, YUMURTADA İKİ HANELİ</w:t>
      </w:r>
    </w:p>
    <w:p w:rsidR="00943DE7" w:rsidRPr="00943DE7" w:rsidRDefault="00943DE7" w:rsidP="00BA09E3">
      <w:pPr>
        <w:spacing w:beforeLines="120" w:before="288" w:afterLines="120" w:after="288" w:line="240" w:lineRule="auto"/>
        <w:jc w:val="both"/>
        <w:rPr>
          <w:rStyle w:val="apple-style-span"/>
          <w:lang w:val="tr-TR"/>
        </w:rPr>
      </w:pPr>
      <w:r w:rsidRPr="00943DE7">
        <w:rPr>
          <w:sz w:val="24"/>
          <w:szCs w:val="24"/>
          <w:lang w:val="tr-TR"/>
        </w:rPr>
        <w:t xml:space="preserve">Yıllık enflasyon kirada yüzde 10.1, tüp gazda yüzde 15,1, ilaçta yüzde 13,8, benzinde yüzde 25, vapur ücreti yüzde 29,7, </w:t>
      </w:r>
      <w:proofErr w:type="gramStart"/>
      <w:r w:rsidRPr="00943DE7">
        <w:rPr>
          <w:sz w:val="24"/>
          <w:szCs w:val="24"/>
          <w:lang w:val="tr-TR"/>
        </w:rPr>
        <w:t>metro</w:t>
      </w:r>
      <w:proofErr w:type="gramEnd"/>
      <w:r w:rsidRPr="00943DE7">
        <w:rPr>
          <w:sz w:val="24"/>
          <w:szCs w:val="24"/>
          <w:lang w:val="tr-TR"/>
        </w:rPr>
        <w:t xml:space="preserve"> ücreti yüzde 16, koyun etinde yüzde 10,51, Tavuk etinde yüzde 13,31,  yumurtada yüzde 17.7 oldu. Sağlıkta toplam yıllık enflasyon yüzde 12’yi buldu.</w:t>
      </w:r>
    </w:p>
    <w:p w:rsidR="00943DE7" w:rsidRPr="00943DE7" w:rsidRDefault="00943DE7" w:rsidP="00BA09E3">
      <w:pPr>
        <w:spacing w:beforeLines="120" w:before="288" w:afterLines="120" w:after="288" w:line="240" w:lineRule="auto"/>
        <w:jc w:val="both"/>
        <w:rPr>
          <w:rStyle w:val="apple-style-span"/>
          <w:color w:val="000000"/>
          <w:shd w:val="clear" w:color="auto" w:fill="FFFFFF"/>
          <w:lang w:val="tr-TR"/>
        </w:rPr>
      </w:pPr>
      <w:r w:rsidRPr="00943DE7">
        <w:rPr>
          <w:rStyle w:val="apple-style-span"/>
          <w:color w:val="000000"/>
          <w:shd w:val="clear" w:color="auto" w:fill="FFFFFF"/>
          <w:lang w:val="tr-TR"/>
        </w:rPr>
        <w:t xml:space="preserve">Enflasyonun 14 yıllık (AKP hükümetleri dönemindeki) bilançosu, alım gücünde ekmek ve tahıllar için yüzde 10,1, et için yüzde 19,3, balık için yüzde 12, sebze için yüzde 36’lık kayıp olarak yaşandı (Bkz. TABLO 1). Bu ürünlerde enflasyon, genel enflasyonun çok üzerine yaşandı. (Kayıplar enflasyon oranında ücret artışı alan ortalama bir ücretli için hesaplanıyor). Kira da dar gelirlinin alım gücü kaybı yaşadığı alanlardan biri oldu. Dar gelirli kirada yüzde 27,5 alım gücü kaybı yaşadı. </w:t>
      </w:r>
    </w:p>
    <w:p w:rsidR="00943DE7" w:rsidRPr="00943DE7" w:rsidRDefault="00943DE7" w:rsidP="00BA09E3">
      <w:pPr>
        <w:spacing w:beforeLines="120" w:before="288" w:afterLines="120" w:after="288" w:line="240" w:lineRule="auto"/>
        <w:jc w:val="both"/>
        <w:rPr>
          <w:rStyle w:val="apple-style-span"/>
          <w:color w:val="000000"/>
          <w:shd w:val="clear" w:color="auto" w:fill="FFFFFF"/>
          <w:lang w:val="tr-TR"/>
        </w:rPr>
      </w:pPr>
      <w:r w:rsidRPr="00943DE7">
        <w:rPr>
          <w:rStyle w:val="apple-style-span"/>
          <w:color w:val="000000"/>
          <w:shd w:val="clear" w:color="auto" w:fill="FFFFFF"/>
          <w:lang w:val="tr-TR"/>
        </w:rPr>
        <w:t xml:space="preserve">Şebeke suyu (yüzde 9) ve gaz (yüzde 3) da alım gücü kaybı yaşanan alanlardan oldu. Buna karşın dar gelirlinin elektrik (yüzde 19), elektrikli ev aletleri (yüzde 50-90), telefon (yüzde 756), motorlu araçlar (yüzde 40) gibi özellikle teknolojik gelişmeye koşut fiyatı düşen ve çoğunlukla ithalata bağımlı ürünlerde alım gücü artışı sağlandı. Giysiler de (yüzde 73) alım gücü yaşanan ürünler arasında yer aldı. Kitap ise yüzde 31 ile alım gücü </w:t>
      </w:r>
      <w:r w:rsidRPr="00943DE7">
        <w:rPr>
          <w:rStyle w:val="apple-style-span"/>
          <w:color w:val="000000"/>
          <w:shd w:val="clear" w:color="auto" w:fill="FFFFFF"/>
          <w:lang w:val="tr-TR"/>
        </w:rPr>
        <w:lastRenderedPageBreak/>
        <w:t>kaybının yaşandığı alanlar arasında yer aldı. Alkollü içkilerde alım gücü kaybı ise birada yüzde 50, şarapta yüzde 13 oldu. Tütünde kayıp yüzde 52 olarak yaşandı.</w:t>
      </w:r>
    </w:p>
    <w:p w:rsidR="00943DE7" w:rsidRPr="00943DE7" w:rsidRDefault="00943DE7" w:rsidP="00BA09E3">
      <w:pPr>
        <w:spacing w:beforeLines="120" w:before="288" w:afterLines="120" w:after="288" w:line="240" w:lineRule="auto"/>
        <w:jc w:val="both"/>
        <w:rPr>
          <w:rStyle w:val="apple-style-span"/>
          <w:b/>
          <w:color w:val="000000"/>
          <w:shd w:val="clear" w:color="auto" w:fill="FFFFFF"/>
          <w:lang w:val="tr-TR"/>
        </w:rPr>
      </w:pPr>
      <w:r w:rsidRPr="00943DE7">
        <w:rPr>
          <w:rStyle w:val="apple-style-span"/>
          <w:b/>
          <w:color w:val="000000"/>
          <w:shd w:val="clear" w:color="auto" w:fill="FFFFFF"/>
          <w:lang w:val="tr-TR"/>
        </w:rPr>
        <w:t>ENFLASYON HESAPLAMASI NEDENİYLE HERKES KAYIP YAŞADI</w:t>
      </w:r>
    </w:p>
    <w:p w:rsidR="00943DE7" w:rsidRPr="00943DE7" w:rsidRDefault="00943DE7" w:rsidP="00BA09E3">
      <w:pPr>
        <w:spacing w:beforeLines="120" w:before="288" w:afterLines="120" w:after="288" w:line="240" w:lineRule="auto"/>
        <w:jc w:val="both"/>
        <w:rPr>
          <w:rStyle w:val="apple-style-span"/>
          <w:color w:val="000000"/>
          <w:shd w:val="clear" w:color="auto" w:fill="FFFFFF"/>
          <w:lang w:val="tr-TR"/>
        </w:rPr>
      </w:pPr>
      <w:r w:rsidRPr="00943DE7">
        <w:rPr>
          <w:rStyle w:val="apple-style-span"/>
          <w:color w:val="000000"/>
          <w:shd w:val="clear" w:color="auto" w:fill="FFFFFF"/>
          <w:lang w:val="tr-TR"/>
        </w:rPr>
        <w:t xml:space="preserve">BİSAM, TÜİK Tüketim Harcamaları İstatistikleri ve TÜİK Tüketici Fiyat Endeksi Harcama Gruplarına Göre Endeks Sonuçlarını kullanarak farklı gelir grupları için enflasyon hesaplaması yapıyor. </w:t>
      </w:r>
    </w:p>
    <w:p w:rsidR="00943DE7" w:rsidRPr="00943DE7" w:rsidRDefault="00943DE7" w:rsidP="00BA09E3">
      <w:pPr>
        <w:spacing w:beforeLines="120" w:before="288" w:afterLines="120" w:after="288" w:line="240" w:lineRule="auto"/>
        <w:jc w:val="both"/>
        <w:rPr>
          <w:rStyle w:val="apple-style-span"/>
          <w:color w:val="000000"/>
          <w:shd w:val="clear" w:color="auto" w:fill="FFFFFF"/>
          <w:lang w:val="tr-TR"/>
        </w:rPr>
      </w:pPr>
      <w:r w:rsidRPr="00943DE7">
        <w:rPr>
          <w:rStyle w:val="apple-style-span"/>
          <w:color w:val="000000"/>
          <w:shd w:val="clear" w:color="auto" w:fill="FFFFFF"/>
          <w:lang w:val="tr-TR"/>
        </w:rPr>
        <w:t>Bu hesaplamaya göre enflasyon çeşitli gelir ve tüketim grupları için farklı sonuçlar yaratıyor. Buna göre;</w:t>
      </w:r>
    </w:p>
    <w:p w:rsidR="00943DE7" w:rsidRPr="00943DE7" w:rsidRDefault="00943DE7" w:rsidP="00BA09E3">
      <w:pPr>
        <w:pStyle w:val="ListeParagraf"/>
        <w:numPr>
          <w:ilvl w:val="0"/>
          <w:numId w:val="17"/>
        </w:numPr>
        <w:spacing w:beforeLines="120" w:before="288" w:afterLines="120" w:after="288" w:line="240" w:lineRule="auto"/>
        <w:jc w:val="both"/>
        <w:rPr>
          <w:rStyle w:val="apple-style-span"/>
          <w:color w:val="000000"/>
          <w:shd w:val="clear" w:color="auto" w:fill="FFFFFF"/>
          <w:lang w:val="tr-TR"/>
        </w:rPr>
      </w:pPr>
      <w:r w:rsidRPr="00943DE7">
        <w:rPr>
          <w:rStyle w:val="apple-style-span"/>
          <w:color w:val="000000"/>
          <w:shd w:val="clear" w:color="auto" w:fill="FFFFFF"/>
          <w:lang w:val="tr-TR"/>
        </w:rPr>
        <w:t xml:space="preserve">Ocak 2003-Ocak 2017 dönemleri arasında genel TÜFE yüzde 216 artış gösterirken bu oran düzenli ücretlilerde yüzde 243, </w:t>
      </w:r>
    </w:p>
    <w:p w:rsidR="00943DE7" w:rsidRPr="00943DE7" w:rsidRDefault="00943DE7" w:rsidP="00BA09E3">
      <w:pPr>
        <w:pStyle w:val="ListeParagraf"/>
        <w:numPr>
          <w:ilvl w:val="0"/>
          <w:numId w:val="17"/>
        </w:numPr>
        <w:spacing w:beforeLines="120" w:before="288" w:afterLines="120" w:after="288" w:line="240" w:lineRule="auto"/>
        <w:jc w:val="both"/>
        <w:rPr>
          <w:rStyle w:val="apple-style-span"/>
          <w:color w:val="000000"/>
          <w:shd w:val="clear" w:color="auto" w:fill="FFFFFF"/>
          <w:lang w:val="tr-TR"/>
        </w:rPr>
      </w:pPr>
      <w:r w:rsidRPr="00943DE7">
        <w:rPr>
          <w:rStyle w:val="apple-style-span"/>
          <w:color w:val="000000"/>
          <w:shd w:val="clear" w:color="auto" w:fill="FFFFFF"/>
          <w:lang w:val="tr-TR"/>
        </w:rPr>
        <w:t xml:space="preserve">Çalışmayanlar için yüzde 251, </w:t>
      </w:r>
    </w:p>
    <w:p w:rsidR="00943DE7" w:rsidRPr="00943DE7" w:rsidRDefault="00943DE7" w:rsidP="00BA09E3">
      <w:pPr>
        <w:pStyle w:val="ListeParagraf"/>
        <w:numPr>
          <w:ilvl w:val="0"/>
          <w:numId w:val="17"/>
        </w:numPr>
        <w:spacing w:beforeLines="120" w:before="288" w:afterLines="120" w:after="288" w:line="240" w:lineRule="auto"/>
        <w:jc w:val="both"/>
        <w:rPr>
          <w:rStyle w:val="apple-style-span"/>
          <w:color w:val="000000"/>
          <w:shd w:val="clear" w:color="auto" w:fill="FFFFFF"/>
          <w:lang w:val="tr-TR"/>
        </w:rPr>
      </w:pPr>
      <w:r w:rsidRPr="00943DE7">
        <w:rPr>
          <w:rStyle w:val="apple-style-span"/>
          <w:color w:val="000000"/>
          <w:shd w:val="clear" w:color="auto" w:fill="FFFFFF"/>
          <w:lang w:val="tr-TR"/>
        </w:rPr>
        <w:t>Emeklilerde yüzde 249,</w:t>
      </w:r>
    </w:p>
    <w:p w:rsidR="00943DE7" w:rsidRPr="00943DE7" w:rsidRDefault="00943DE7" w:rsidP="00BA09E3">
      <w:pPr>
        <w:pStyle w:val="ListeParagraf"/>
        <w:numPr>
          <w:ilvl w:val="0"/>
          <w:numId w:val="17"/>
        </w:numPr>
        <w:spacing w:beforeLines="120" w:before="288" w:afterLines="120" w:after="288" w:line="240" w:lineRule="auto"/>
        <w:jc w:val="both"/>
        <w:rPr>
          <w:rStyle w:val="apple-style-span"/>
          <w:color w:val="000000"/>
          <w:shd w:val="clear" w:color="auto" w:fill="FFFFFF"/>
          <w:lang w:val="tr-TR"/>
        </w:rPr>
      </w:pPr>
      <w:r w:rsidRPr="00943DE7">
        <w:rPr>
          <w:rStyle w:val="apple-style-span"/>
          <w:color w:val="000000"/>
          <w:shd w:val="clear" w:color="auto" w:fill="FFFFFF"/>
          <w:lang w:val="tr-TR"/>
        </w:rPr>
        <w:t>Nüfusun en yoksul yüzde 20’lik kesimi için yüzde 256 oldu. En zengin yüzde 20’lik dilim için ise enflasyon yüzde 236 olarak gerçekleşti. Buna göre enflasyon yoksulu daha fazla vurdu.</w:t>
      </w:r>
    </w:p>
    <w:p w:rsidR="00943DE7" w:rsidRPr="00943DE7" w:rsidRDefault="00943DE7" w:rsidP="00BA09E3">
      <w:pPr>
        <w:spacing w:beforeLines="120" w:before="288" w:afterLines="120" w:after="288" w:line="240" w:lineRule="auto"/>
        <w:jc w:val="both"/>
        <w:rPr>
          <w:sz w:val="24"/>
          <w:szCs w:val="24"/>
          <w:lang w:val="tr-TR"/>
        </w:rPr>
      </w:pPr>
      <w:r w:rsidRPr="00943DE7">
        <w:rPr>
          <w:rStyle w:val="apple-style-span"/>
          <w:color w:val="000000"/>
          <w:shd w:val="clear" w:color="auto" w:fill="FFFFFF"/>
          <w:lang w:val="tr-TR"/>
        </w:rPr>
        <w:t>BİSAM tarafından Ocak 2003-Ocak 2017 dönemlerine göre gizli yoksullaşma oranları da hesaplandı. Gizli yoksullaşma genel enflasyon rakamları ile farklı grupların enflasyonlarının arasındaki farktan kaynaklanan ve kayıtlara yansımayan yoksullaşma düzeyini ortaya koyuyor.</w:t>
      </w:r>
    </w:p>
    <w:p w:rsidR="00943DE7" w:rsidRPr="00943DE7" w:rsidRDefault="00943DE7" w:rsidP="00BA09E3">
      <w:pPr>
        <w:spacing w:beforeLines="120" w:before="288" w:afterLines="120" w:after="288" w:line="240" w:lineRule="auto"/>
        <w:jc w:val="both"/>
        <w:rPr>
          <w:sz w:val="24"/>
          <w:szCs w:val="24"/>
          <w:lang w:val="tr-TR"/>
        </w:rPr>
      </w:pPr>
      <w:proofErr w:type="gramStart"/>
      <w:r w:rsidRPr="00943DE7">
        <w:rPr>
          <w:sz w:val="24"/>
          <w:szCs w:val="24"/>
          <w:lang w:val="tr-TR"/>
        </w:rPr>
        <w:t>Buna göre son 13 yıllık dönemde (</w:t>
      </w:r>
      <w:r w:rsidRPr="00943DE7">
        <w:rPr>
          <w:rStyle w:val="apple-style-span"/>
          <w:color w:val="000000"/>
          <w:shd w:val="clear" w:color="auto" w:fill="FFFFFF"/>
          <w:lang w:val="tr-TR"/>
        </w:rPr>
        <w:t>Ocak 2003-Ocak 2017</w:t>
      </w:r>
      <w:r w:rsidRPr="00943DE7">
        <w:rPr>
          <w:sz w:val="24"/>
          <w:szCs w:val="24"/>
          <w:lang w:val="tr-TR"/>
        </w:rPr>
        <w:t xml:space="preserve">) gizli yoksullaşmayı en yoğun olarak yaşayanlar, işteki duruma göre yüzde 12,04 ile “Yevmiyeliler”, mesleğe göre yüzde 11,2 ile “Nitelik Gerektirmeyen İşlerde Çalışanlar”, temel gelir kaynağına göre yüzde 11,1 ile “Diğer Transferlerle Geçinenler”, gelir gruplarına göre yüzde 11,1 ile “En Yoksul Yüzde 20”’lik gelir grubunda yer alanlar oldu (Tablo 2).     </w:t>
      </w:r>
      <w:proofErr w:type="gramEnd"/>
    </w:p>
    <w:p w:rsidR="00943DE7" w:rsidRPr="00943DE7" w:rsidRDefault="00943DE7" w:rsidP="00BA09E3">
      <w:pPr>
        <w:spacing w:beforeLines="120" w:before="288" w:afterLines="120" w:after="288" w:line="240" w:lineRule="auto"/>
        <w:jc w:val="both"/>
        <w:rPr>
          <w:rStyle w:val="apple-style-span"/>
          <w:b/>
          <w:color w:val="000000"/>
          <w:shd w:val="clear" w:color="auto" w:fill="FFFFFF"/>
          <w:lang w:val="tr-TR"/>
        </w:rPr>
      </w:pPr>
      <w:r w:rsidRPr="00943DE7">
        <w:rPr>
          <w:rStyle w:val="apple-style-span"/>
          <w:b/>
          <w:color w:val="000000"/>
          <w:shd w:val="clear" w:color="auto" w:fill="FFFFFF"/>
          <w:lang w:val="tr-TR"/>
        </w:rPr>
        <w:t>SONUÇ</w:t>
      </w:r>
    </w:p>
    <w:p w:rsidR="00943DE7" w:rsidRPr="00943DE7" w:rsidRDefault="00943DE7" w:rsidP="00BA09E3">
      <w:pPr>
        <w:spacing w:beforeLines="120" w:before="288" w:afterLines="120" w:after="288" w:line="240" w:lineRule="auto"/>
        <w:jc w:val="both"/>
        <w:rPr>
          <w:color w:val="000000"/>
          <w:shd w:val="clear" w:color="auto" w:fill="FFFFFF"/>
          <w:lang w:val="tr-TR"/>
        </w:rPr>
      </w:pPr>
      <w:r w:rsidRPr="00943DE7">
        <w:rPr>
          <w:rStyle w:val="apple-style-span"/>
          <w:color w:val="000000"/>
          <w:shd w:val="clear" w:color="auto" w:fill="FFFFFF"/>
          <w:lang w:val="tr-TR"/>
        </w:rPr>
        <w:t>Enflasyondaki hareketler doğrudan doğruya alım gücüne etki eden bir role sahip. K</w:t>
      </w:r>
      <w:r w:rsidRPr="00943DE7">
        <w:rPr>
          <w:sz w:val="24"/>
          <w:szCs w:val="24"/>
          <w:lang w:val="tr-TR"/>
        </w:rPr>
        <w:t>işinin kendi yaptığı harcama kalemlerindeki fiyat artışları (enflasyonu) ile resmi Tüketici Fiyat Endeksi arasındaki fark istatistiklere yansımayan bir yoksulluğa neden olmaktadır. Aynı zamanda sepete her yıl müdahaleye olanak tanıyan yöntem sonuçların güvenilirliği açısından soru işaretlerine neden oluyor. Dar gelirli için ağırlığı son derece önemli olan kira ve gıdanın, sepetteki ağırlığının sistematik olarak azalması, sorunları büyütüyor. Bu nedenle;</w:t>
      </w:r>
    </w:p>
    <w:p w:rsidR="00943DE7" w:rsidRPr="00943DE7" w:rsidRDefault="00943DE7" w:rsidP="00BA09E3">
      <w:pPr>
        <w:pStyle w:val="NormalWeb"/>
        <w:numPr>
          <w:ilvl w:val="0"/>
          <w:numId w:val="16"/>
        </w:numPr>
        <w:spacing w:beforeLines="120" w:before="288" w:beforeAutospacing="0" w:afterLines="120" w:after="288" w:afterAutospacing="0"/>
        <w:ind w:left="714" w:hanging="357"/>
        <w:jc w:val="both"/>
        <w:rPr>
          <w:rFonts w:ascii="Cambria" w:hAnsi="Cambria"/>
          <w:color w:val="000000"/>
          <w:shd w:val="clear" w:color="auto" w:fill="FFFFFF"/>
        </w:rPr>
      </w:pPr>
      <w:r w:rsidRPr="00943DE7">
        <w:rPr>
          <w:rFonts w:ascii="Cambria" w:hAnsi="Cambria"/>
          <w:color w:val="000000"/>
          <w:shd w:val="clear" w:color="auto" w:fill="FFFFFF"/>
        </w:rPr>
        <w:t>Ücret artışlarında dar gelirlileri dikkate alınacak ayrı bir endeks oluşturulmalıdır</w:t>
      </w:r>
    </w:p>
    <w:p w:rsidR="00943DE7" w:rsidRPr="00943DE7" w:rsidRDefault="00943DE7" w:rsidP="00BA09E3">
      <w:pPr>
        <w:pStyle w:val="NormalWeb"/>
        <w:numPr>
          <w:ilvl w:val="0"/>
          <w:numId w:val="16"/>
        </w:numPr>
        <w:spacing w:beforeLines="120" w:before="288" w:beforeAutospacing="0" w:afterLines="120" w:after="288" w:afterAutospacing="0"/>
        <w:ind w:left="714" w:hanging="357"/>
        <w:jc w:val="both"/>
        <w:rPr>
          <w:rFonts w:ascii="Cambria" w:hAnsi="Cambria"/>
          <w:color w:val="000000"/>
          <w:shd w:val="clear" w:color="auto" w:fill="FFFFFF"/>
        </w:rPr>
      </w:pPr>
      <w:r w:rsidRPr="00943DE7">
        <w:rPr>
          <w:rFonts w:ascii="Cambria" w:hAnsi="Cambria"/>
          <w:color w:val="000000"/>
          <w:shd w:val="clear" w:color="auto" w:fill="FFFFFF"/>
        </w:rPr>
        <w:t xml:space="preserve">Toplum tarafından yaygın olarak kullanılmadığı halde, yüksek değer taşıdığı için ciddi bir biçimde enflasyonu etkileyen ürünlerin mal sepetindeki ağırlığı gözden geçirilmeli, teknolojik gelişmeye koşut olarak fiyatları sürekli olarak gerileyen ürünler, sepetten çıkartılmalıdır. </w:t>
      </w:r>
    </w:p>
    <w:p w:rsidR="00943DE7" w:rsidRPr="00943DE7" w:rsidRDefault="00943DE7" w:rsidP="00BA09E3">
      <w:pPr>
        <w:pStyle w:val="NormalWeb"/>
        <w:numPr>
          <w:ilvl w:val="0"/>
          <w:numId w:val="16"/>
        </w:numPr>
        <w:spacing w:beforeLines="120" w:before="288" w:beforeAutospacing="0" w:afterLines="120" w:after="288" w:afterAutospacing="0"/>
        <w:ind w:left="714" w:hanging="357"/>
        <w:jc w:val="both"/>
        <w:rPr>
          <w:rFonts w:ascii="Cambria" w:hAnsi="Cambria"/>
          <w:color w:val="000000"/>
          <w:shd w:val="clear" w:color="auto" w:fill="FFFFFF"/>
        </w:rPr>
      </w:pPr>
      <w:r w:rsidRPr="00943DE7">
        <w:rPr>
          <w:rFonts w:ascii="Cambria" w:hAnsi="Cambria"/>
          <w:color w:val="000000"/>
          <w:shd w:val="clear" w:color="auto" w:fill="FFFFFF"/>
        </w:rPr>
        <w:t xml:space="preserve">Her türlü sübjektif müdahaleye açık olan yıllık sepet değişiminden vaz geçilmeli. </w:t>
      </w:r>
      <w:proofErr w:type="spellStart"/>
      <w:r w:rsidRPr="00943DE7">
        <w:rPr>
          <w:rFonts w:ascii="Cambria" w:hAnsi="Cambria"/>
          <w:color w:val="000000"/>
          <w:shd w:val="clear" w:color="auto" w:fill="FFFFFF"/>
        </w:rPr>
        <w:t>Sapetteki</w:t>
      </w:r>
      <w:proofErr w:type="spellEnd"/>
      <w:r w:rsidRPr="00943DE7">
        <w:rPr>
          <w:rFonts w:ascii="Cambria" w:hAnsi="Cambria"/>
          <w:color w:val="000000"/>
          <w:shd w:val="clear" w:color="auto" w:fill="FFFFFF"/>
        </w:rPr>
        <w:t xml:space="preserve"> değişiklikler 5’er yıllık dönemler halinde gerçekleştirilmelidir. </w:t>
      </w:r>
    </w:p>
    <w:p w:rsidR="00943DE7" w:rsidRPr="00943DE7" w:rsidRDefault="00943DE7" w:rsidP="00BA09E3">
      <w:pPr>
        <w:pStyle w:val="NormalWeb"/>
        <w:numPr>
          <w:ilvl w:val="0"/>
          <w:numId w:val="16"/>
        </w:numPr>
        <w:spacing w:beforeLines="120" w:before="288" w:beforeAutospacing="0" w:afterLines="120" w:after="288" w:afterAutospacing="0"/>
        <w:ind w:left="714" w:hanging="357"/>
        <w:jc w:val="both"/>
        <w:rPr>
          <w:rFonts w:ascii="Cambria" w:hAnsi="Cambria"/>
          <w:color w:val="000000"/>
          <w:shd w:val="clear" w:color="auto" w:fill="FFFFFF"/>
        </w:rPr>
      </w:pPr>
      <w:r w:rsidRPr="00943DE7">
        <w:rPr>
          <w:rFonts w:ascii="Cambria" w:hAnsi="Cambria"/>
          <w:color w:val="000000"/>
          <w:shd w:val="clear" w:color="auto" w:fill="FFFFFF"/>
        </w:rPr>
        <w:t>İstatistik konseyinin kapsamı genişletilerek emek örgütlerinin katılımı ve denetimi sağlanmalıdır.</w:t>
      </w:r>
    </w:p>
    <w:p w:rsidR="00943DE7" w:rsidRPr="00943DE7" w:rsidRDefault="00943DE7" w:rsidP="00BA09E3">
      <w:pPr>
        <w:pStyle w:val="NormalWeb"/>
        <w:numPr>
          <w:ilvl w:val="0"/>
          <w:numId w:val="16"/>
        </w:numPr>
        <w:spacing w:beforeLines="120" w:before="288" w:beforeAutospacing="0" w:afterLines="120" w:after="288" w:afterAutospacing="0"/>
        <w:ind w:left="714" w:hanging="357"/>
        <w:jc w:val="both"/>
        <w:rPr>
          <w:rFonts w:ascii="Cambria" w:hAnsi="Cambria"/>
          <w:color w:val="000000"/>
          <w:shd w:val="clear" w:color="auto" w:fill="FFFFFF"/>
        </w:rPr>
      </w:pPr>
      <w:r w:rsidRPr="00943DE7">
        <w:rPr>
          <w:rFonts w:ascii="Cambria" w:hAnsi="Cambria"/>
          <w:color w:val="000000"/>
          <w:shd w:val="clear" w:color="auto" w:fill="FFFFFF"/>
        </w:rPr>
        <w:t xml:space="preserve">Hükümet mensuplarının </w:t>
      </w:r>
      <w:proofErr w:type="spellStart"/>
      <w:r w:rsidRPr="00943DE7">
        <w:rPr>
          <w:rFonts w:ascii="Cambria" w:hAnsi="Cambria"/>
          <w:color w:val="000000"/>
          <w:shd w:val="clear" w:color="auto" w:fill="FFFFFF"/>
        </w:rPr>
        <w:t>TÜİK’e</w:t>
      </w:r>
      <w:proofErr w:type="spellEnd"/>
      <w:r w:rsidRPr="00943DE7">
        <w:rPr>
          <w:rFonts w:ascii="Cambria" w:hAnsi="Cambria"/>
          <w:color w:val="000000"/>
          <w:shd w:val="clear" w:color="auto" w:fill="FFFFFF"/>
        </w:rPr>
        <w:t xml:space="preserve"> müdahalesi anlamına gelecek yaklaşımlardan ve söylemlerden uzak durmaları sağlanmalıdır.</w:t>
      </w:r>
    </w:p>
    <w:p w:rsidR="00943DE7" w:rsidRPr="00943DE7" w:rsidRDefault="00943DE7" w:rsidP="00BA09E3">
      <w:pPr>
        <w:pStyle w:val="NormalWeb"/>
        <w:numPr>
          <w:ilvl w:val="0"/>
          <w:numId w:val="16"/>
        </w:numPr>
        <w:spacing w:beforeLines="120" w:before="288" w:beforeAutospacing="0" w:afterLines="120" w:after="288" w:afterAutospacing="0"/>
        <w:ind w:left="714" w:hanging="357"/>
        <w:jc w:val="both"/>
        <w:rPr>
          <w:rFonts w:ascii="Cambria" w:hAnsi="Cambria"/>
          <w:color w:val="000000"/>
          <w:shd w:val="clear" w:color="auto" w:fill="FFFFFF"/>
        </w:rPr>
      </w:pPr>
      <w:r w:rsidRPr="00943DE7">
        <w:rPr>
          <w:rFonts w:ascii="Cambria" w:hAnsi="Cambria"/>
          <w:color w:val="000000"/>
          <w:shd w:val="clear" w:color="auto" w:fill="FFFFFF"/>
        </w:rPr>
        <w:t>Enflasyon hesaplamasında yukarıda belirtilen unsurlardan kaynaklı yaşanan gelir kayıpları giderilmelidir.</w:t>
      </w:r>
    </w:p>
    <w:p w:rsidR="00943DE7" w:rsidRDefault="00943DE7" w:rsidP="00943DE7">
      <w:pPr>
        <w:spacing w:after="240" w:line="360" w:lineRule="auto"/>
        <w:jc w:val="both"/>
        <w:rPr>
          <w:rStyle w:val="apple-style-span"/>
          <w:color w:val="000000"/>
          <w:shd w:val="clear" w:color="auto" w:fill="FFFFFF"/>
          <w:lang w:val="tr-TR"/>
        </w:rPr>
      </w:pPr>
    </w:p>
    <w:p w:rsidR="00943DE7" w:rsidRPr="00943DE7" w:rsidRDefault="00943DE7" w:rsidP="00943DE7">
      <w:pPr>
        <w:spacing w:after="240" w:line="360" w:lineRule="auto"/>
        <w:jc w:val="both"/>
        <w:rPr>
          <w:rStyle w:val="apple-style-span"/>
          <w:b/>
          <w:color w:val="000000"/>
          <w:shd w:val="clear" w:color="auto" w:fill="FFFFFF"/>
          <w:lang w:val="tr-TR"/>
        </w:rPr>
      </w:pPr>
      <w:bookmarkStart w:id="0" w:name="_GoBack"/>
      <w:bookmarkEnd w:id="0"/>
      <w:r w:rsidRPr="00943DE7">
        <w:rPr>
          <w:rStyle w:val="apple-style-span"/>
          <w:b/>
          <w:color w:val="000000"/>
          <w:shd w:val="clear" w:color="auto" w:fill="FFFFFF"/>
          <w:lang w:val="tr-TR"/>
        </w:rPr>
        <w:lastRenderedPageBreak/>
        <w:t>TABLO 1- ENFLASYON KARŞISINDA ALIM GÜCÜ KAYBI/KAZANCI (OCAK 2013-OCAK 2017)</w:t>
      </w:r>
    </w:p>
    <w:tbl>
      <w:tblPr>
        <w:tblW w:w="8179" w:type="dxa"/>
        <w:tblCellMar>
          <w:left w:w="70" w:type="dxa"/>
          <w:right w:w="70" w:type="dxa"/>
        </w:tblCellMar>
        <w:tblLook w:val="04A0" w:firstRow="1" w:lastRow="0" w:firstColumn="1" w:lastColumn="0" w:noHBand="0" w:noVBand="1"/>
      </w:tblPr>
      <w:tblGrid>
        <w:gridCol w:w="4899"/>
        <w:gridCol w:w="3280"/>
      </w:tblGrid>
      <w:tr w:rsidR="00943DE7" w:rsidRPr="00943DE7" w:rsidTr="004902F0">
        <w:trPr>
          <w:trHeight w:val="260"/>
        </w:trPr>
        <w:tc>
          <w:tcPr>
            <w:tcW w:w="4899" w:type="dxa"/>
            <w:tcBorders>
              <w:top w:val="nil"/>
              <w:left w:val="nil"/>
              <w:bottom w:val="single" w:sz="12" w:space="0" w:color="FFFFFF"/>
              <w:right w:val="single" w:sz="4" w:space="0" w:color="FFFFFF"/>
            </w:tcBorders>
            <w:shd w:val="clear" w:color="4F81BD" w:fill="4F81BD"/>
            <w:noWrap/>
            <w:vAlign w:val="bottom"/>
            <w:hideMark/>
          </w:tcPr>
          <w:p w:rsidR="00943DE7" w:rsidRPr="00943DE7" w:rsidRDefault="00943DE7" w:rsidP="004902F0">
            <w:pPr>
              <w:rPr>
                <w:rFonts w:eastAsia="Times New Roman" w:cs="Arial"/>
                <w:b/>
                <w:bCs/>
                <w:color w:val="FFFFFF"/>
                <w:sz w:val="20"/>
                <w:szCs w:val="20"/>
                <w:lang w:val="tr-TR" w:eastAsia="tr-TR"/>
              </w:rPr>
            </w:pPr>
            <w:r w:rsidRPr="00943DE7">
              <w:rPr>
                <w:rFonts w:eastAsia="Times New Roman" w:cs="Arial"/>
                <w:b/>
                <w:bCs/>
                <w:color w:val="FFFFFF"/>
                <w:sz w:val="20"/>
                <w:szCs w:val="20"/>
                <w:lang w:val="tr-TR" w:eastAsia="tr-TR"/>
              </w:rPr>
              <w:t>MADDE GRUBU</w:t>
            </w:r>
          </w:p>
        </w:tc>
        <w:tc>
          <w:tcPr>
            <w:tcW w:w="3280" w:type="dxa"/>
            <w:tcBorders>
              <w:top w:val="nil"/>
              <w:left w:val="single" w:sz="4" w:space="0" w:color="FFFFFF"/>
              <w:bottom w:val="single" w:sz="12" w:space="0" w:color="FFFFFF"/>
              <w:right w:val="nil"/>
            </w:tcBorders>
            <w:shd w:val="clear" w:color="4F81BD" w:fill="4F81BD"/>
            <w:noWrap/>
            <w:vAlign w:val="bottom"/>
            <w:hideMark/>
          </w:tcPr>
          <w:p w:rsidR="00943DE7" w:rsidRPr="00943DE7" w:rsidRDefault="00943DE7" w:rsidP="004902F0">
            <w:pPr>
              <w:rPr>
                <w:rFonts w:eastAsia="Times New Roman" w:cs="Arial"/>
                <w:b/>
                <w:bCs/>
                <w:color w:val="FFFFFF"/>
                <w:sz w:val="20"/>
                <w:szCs w:val="20"/>
                <w:lang w:val="tr-TR" w:eastAsia="tr-TR"/>
              </w:rPr>
            </w:pPr>
            <w:r w:rsidRPr="00943DE7">
              <w:rPr>
                <w:rFonts w:eastAsia="Times New Roman" w:cs="Arial"/>
                <w:b/>
                <w:bCs/>
                <w:color w:val="FFFFFF"/>
                <w:sz w:val="20"/>
                <w:szCs w:val="20"/>
                <w:lang w:val="tr-TR" w:eastAsia="tr-TR"/>
              </w:rPr>
              <w:t xml:space="preserve">ALIM GÜCÜ KAYBI/KAZANCI </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Ekmek ve tahıllar</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-10,09%</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Et</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-19,29%</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Balık</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-12,02%</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Süt, peynir ve yumurta</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3,78%</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Katı ve sıvı yağlar</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0,70%</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Meyveler</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-8,24%</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Sebze</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-35,62%</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Şeker, reçel, bal, çikolata ve şekerlemeler</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15,30%</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Başka yerde sınıflandırılamayan diğer gıda ürünleri</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-9,51%</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Kahve, çay ve kakao</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-15,25%</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Maden suyu, alkolsüz içecekler, meyve ve sebze suları</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33,42%</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Şarap</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-12,78%</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Bira</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-50,24%</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Tütün</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-51,62%</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Giysiler</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73,37%</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Ayakkabı ve diğer ayak giyecekleri</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45,92%</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Kiracı tarafından ödenen gerçek kira</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-27,52%</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Su (şebeke suyu)</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-8,96%</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Elektrik</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19,19%</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Gaz</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-2,55%</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Mobilya ve mefruşat</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7,25%</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Elektrikli ve elektriksiz büyük ev aletleri</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89,94%</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Elektrikli küçük ev aletleri</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49,80%</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İlaçlar</w:t>
            </w:r>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150,43%</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Motorlu araçlar</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39,23%</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Telefon ve </w:t>
            </w:r>
            <w:proofErr w:type="spellStart"/>
            <w:r w:rsidRPr="00943DE7">
              <w:rPr>
                <w:rFonts w:eastAsia="Times New Roman" w:cs="Arial"/>
                <w:color w:val="000000"/>
                <w:sz w:val="20"/>
                <w:szCs w:val="20"/>
                <w:lang w:val="tr-TR" w:eastAsia="tr-TR"/>
              </w:rPr>
              <w:t>telefaks</w:t>
            </w:r>
            <w:proofErr w:type="spellEnd"/>
            <w:r w:rsidRPr="00943DE7">
              <w:rPr>
                <w:rFonts w:eastAsia="Times New Roman" w:cs="Arial"/>
                <w:color w:val="000000"/>
                <w:sz w:val="20"/>
                <w:szCs w:val="20"/>
                <w:lang w:val="tr-TR" w:eastAsia="tr-TR"/>
              </w:rPr>
              <w:t xml:space="preserve"> </w:t>
            </w:r>
            <w:proofErr w:type="gramStart"/>
            <w:r w:rsidRPr="00943DE7">
              <w:rPr>
                <w:rFonts w:eastAsia="Times New Roman" w:cs="Arial"/>
                <w:color w:val="000000"/>
                <w:sz w:val="20"/>
                <w:szCs w:val="20"/>
                <w:lang w:val="tr-TR" w:eastAsia="tr-TR"/>
              </w:rPr>
              <w:t>ekipmanı</w:t>
            </w:r>
            <w:proofErr w:type="gramEnd"/>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756,71%</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Fotoğraf ve sinema </w:t>
            </w:r>
            <w:proofErr w:type="gramStart"/>
            <w:r w:rsidRPr="00943DE7">
              <w:rPr>
                <w:rFonts w:eastAsia="Times New Roman" w:cs="Arial"/>
                <w:color w:val="000000"/>
                <w:sz w:val="20"/>
                <w:szCs w:val="20"/>
                <w:lang w:val="tr-TR" w:eastAsia="tr-TR"/>
              </w:rPr>
              <w:t>ekipmanı</w:t>
            </w:r>
            <w:proofErr w:type="gramEnd"/>
            <w:r w:rsidRPr="00943DE7">
              <w:rPr>
                <w:rFonts w:eastAsia="Times New Roman" w:cs="Arial"/>
                <w:color w:val="000000"/>
                <w:sz w:val="20"/>
                <w:szCs w:val="20"/>
                <w:lang w:val="tr-TR" w:eastAsia="tr-TR"/>
              </w:rPr>
              <w:t>, optik aletler</w:t>
            </w:r>
          </w:p>
        </w:tc>
        <w:tc>
          <w:tcPr>
            <w:tcW w:w="3280" w:type="dxa"/>
            <w:tcBorders>
              <w:top w:val="single" w:sz="4" w:space="0" w:color="FFFFFF"/>
              <w:left w:val="single" w:sz="4" w:space="0" w:color="FFFFFF"/>
              <w:bottom w:val="single" w:sz="4" w:space="0" w:color="FFFFFF"/>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1894,82%</w:t>
            </w:r>
          </w:p>
        </w:tc>
      </w:tr>
      <w:tr w:rsidR="00943DE7" w:rsidRPr="00943DE7" w:rsidTr="004902F0">
        <w:trPr>
          <w:trHeight w:val="260"/>
        </w:trPr>
        <w:tc>
          <w:tcPr>
            <w:tcW w:w="4899" w:type="dxa"/>
            <w:tcBorders>
              <w:top w:val="single" w:sz="4" w:space="0" w:color="FFFFFF"/>
              <w:left w:val="nil"/>
              <w:bottom w:val="single" w:sz="4" w:space="0" w:color="FFFFFF"/>
              <w:right w:val="single" w:sz="4" w:space="0" w:color="FFFFFF"/>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Veri işlem </w:t>
            </w:r>
            <w:proofErr w:type="gramStart"/>
            <w:r w:rsidRPr="00943DE7">
              <w:rPr>
                <w:rFonts w:eastAsia="Times New Roman" w:cs="Arial"/>
                <w:color w:val="000000"/>
                <w:sz w:val="20"/>
                <w:szCs w:val="20"/>
                <w:lang w:val="tr-TR" w:eastAsia="tr-TR"/>
              </w:rPr>
              <w:t>ekipmanı</w:t>
            </w:r>
            <w:proofErr w:type="gramEnd"/>
          </w:p>
        </w:tc>
        <w:tc>
          <w:tcPr>
            <w:tcW w:w="3280" w:type="dxa"/>
            <w:tcBorders>
              <w:top w:val="single" w:sz="4" w:space="0" w:color="FFFFFF"/>
              <w:left w:val="single" w:sz="4" w:space="0" w:color="FFFFFF"/>
              <w:bottom w:val="single" w:sz="4" w:space="0" w:color="FFFFFF"/>
              <w:right w:val="nil"/>
            </w:tcBorders>
            <w:shd w:val="clear" w:color="DCE6F1" w:fill="DCE6F1"/>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218,90%</w:t>
            </w:r>
          </w:p>
        </w:tc>
      </w:tr>
      <w:tr w:rsidR="00943DE7" w:rsidRPr="00943DE7" w:rsidTr="004902F0">
        <w:trPr>
          <w:trHeight w:val="260"/>
        </w:trPr>
        <w:tc>
          <w:tcPr>
            <w:tcW w:w="4899" w:type="dxa"/>
            <w:tcBorders>
              <w:top w:val="single" w:sz="4" w:space="0" w:color="FFFFFF"/>
              <w:left w:val="nil"/>
              <w:bottom w:val="nil"/>
              <w:right w:val="single" w:sz="4" w:space="0" w:color="FFFFFF"/>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Kitaplar</w:t>
            </w:r>
          </w:p>
        </w:tc>
        <w:tc>
          <w:tcPr>
            <w:tcW w:w="3280" w:type="dxa"/>
            <w:tcBorders>
              <w:top w:val="single" w:sz="4" w:space="0" w:color="FFFFFF"/>
              <w:left w:val="single" w:sz="4" w:space="0" w:color="FFFFFF"/>
              <w:bottom w:val="nil"/>
              <w:right w:val="nil"/>
            </w:tcBorders>
            <w:shd w:val="clear" w:color="B8CCE4" w:fill="B8CCE4"/>
            <w:noWrap/>
            <w:vAlign w:val="bottom"/>
            <w:hideMark/>
          </w:tcPr>
          <w:p w:rsidR="00943DE7" w:rsidRPr="00943DE7" w:rsidRDefault="00943DE7" w:rsidP="004902F0">
            <w:pPr>
              <w:jc w:val="right"/>
              <w:rPr>
                <w:rFonts w:eastAsia="Times New Roman" w:cs="Arial"/>
                <w:color w:val="000000"/>
                <w:sz w:val="20"/>
                <w:szCs w:val="20"/>
                <w:lang w:val="tr-TR" w:eastAsia="tr-TR"/>
              </w:rPr>
            </w:pPr>
            <w:r w:rsidRPr="00943DE7">
              <w:rPr>
                <w:rFonts w:eastAsia="Times New Roman" w:cs="Arial"/>
                <w:color w:val="000000"/>
                <w:sz w:val="20"/>
                <w:szCs w:val="20"/>
                <w:lang w:val="tr-TR" w:eastAsia="tr-TR"/>
              </w:rPr>
              <w:t>-30,76%</w:t>
            </w:r>
          </w:p>
        </w:tc>
      </w:tr>
    </w:tbl>
    <w:p w:rsidR="00943DE7" w:rsidRPr="00943DE7" w:rsidRDefault="00943DE7" w:rsidP="00943DE7">
      <w:pPr>
        <w:spacing w:after="240" w:line="360" w:lineRule="auto"/>
        <w:jc w:val="both"/>
        <w:rPr>
          <w:rStyle w:val="apple-style-span"/>
          <w:color w:val="000000"/>
          <w:shd w:val="clear" w:color="auto" w:fill="FFFFFF"/>
          <w:lang w:val="tr-TR"/>
        </w:rPr>
      </w:pPr>
    </w:p>
    <w:p w:rsidR="00943DE7" w:rsidRPr="00943DE7" w:rsidRDefault="00943DE7" w:rsidP="00943DE7">
      <w:pPr>
        <w:spacing w:after="240" w:line="360" w:lineRule="auto"/>
        <w:jc w:val="both"/>
        <w:rPr>
          <w:rStyle w:val="apple-style-span"/>
          <w:b/>
          <w:color w:val="000000"/>
          <w:shd w:val="clear" w:color="auto" w:fill="FFFFFF"/>
          <w:lang w:val="tr-TR"/>
        </w:rPr>
      </w:pPr>
      <w:r w:rsidRPr="00943DE7">
        <w:rPr>
          <w:rStyle w:val="apple-style-span"/>
          <w:b/>
          <w:color w:val="000000"/>
          <w:shd w:val="clear" w:color="auto" w:fill="FFFFFF"/>
          <w:lang w:val="tr-TR"/>
        </w:rPr>
        <w:lastRenderedPageBreak/>
        <w:t>TABLO 2- GİZLİ YOKSULLAŞMA ORANLARI (OCAK 2013-OCAK 2017)</w:t>
      </w:r>
    </w:p>
    <w:tbl>
      <w:tblPr>
        <w:tblW w:w="10200" w:type="dxa"/>
        <w:tblCellMar>
          <w:left w:w="70" w:type="dxa"/>
          <w:right w:w="70" w:type="dxa"/>
        </w:tblCellMar>
        <w:tblLook w:val="04A0" w:firstRow="1" w:lastRow="0" w:firstColumn="1" w:lastColumn="0" w:noHBand="0" w:noVBand="1"/>
      </w:tblPr>
      <w:tblGrid>
        <w:gridCol w:w="7480"/>
        <w:gridCol w:w="2720"/>
      </w:tblGrid>
      <w:tr w:rsidR="00943DE7" w:rsidRPr="00943DE7" w:rsidTr="004902F0">
        <w:trPr>
          <w:trHeight w:val="780"/>
        </w:trPr>
        <w:tc>
          <w:tcPr>
            <w:tcW w:w="748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943DE7" w:rsidRPr="00943DE7" w:rsidRDefault="00943DE7" w:rsidP="004902F0">
            <w:pPr>
              <w:rPr>
                <w:rFonts w:eastAsia="Times New Roman" w:cs="Arial"/>
                <w:b/>
                <w:bCs/>
                <w:color w:val="FFFFFF"/>
                <w:sz w:val="20"/>
                <w:szCs w:val="20"/>
                <w:lang w:val="tr-TR" w:eastAsia="tr-TR"/>
              </w:rPr>
            </w:pPr>
            <w:r w:rsidRPr="00943DE7">
              <w:rPr>
                <w:rFonts w:eastAsia="Times New Roman" w:cs="Arial"/>
                <w:b/>
                <w:bCs/>
                <w:color w:val="FFFFFF"/>
                <w:sz w:val="20"/>
                <w:szCs w:val="20"/>
                <w:lang w:val="tr-TR" w:eastAsia="tr-TR"/>
              </w:rPr>
              <w:t>İŞTEKİ DURUMA GÖRE</w:t>
            </w:r>
          </w:p>
        </w:tc>
        <w:tc>
          <w:tcPr>
            <w:tcW w:w="2720" w:type="dxa"/>
            <w:tcBorders>
              <w:top w:val="single" w:sz="4" w:space="0" w:color="auto"/>
              <w:left w:val="single" w:sz="4" w:space="0" w:color="auto"/>
              <w:bottom w:val="single" w:sz="4" w:space="0" w:color="auto"/>
              <w:right w:val="single" w:sz="4" w:space="0" w:color="auto"/>
            </w:tcBorders>
            <w:shd w:val="clear" w:color="4F81BD" w:fill="4F81BD"/>
            <w:vAlign w:val="bottom"/>
            <w:hideMark/>
          </w:tcPr>
          <w:p w:rsidR="00943DE7" w:rsidRPr="00943DE7" w:rsidRDefault="00943DE7" w:rsidP="004902F0">
            <w:pPr>
              <w:rPr>
                <w:rFonts w:eastAsia="Times New Roman" w:cs="Arial"/>
                <w:b/>
                <w:bCs/>
                <w:color w:val="FFFFFF"/>
                <w:sz w:val="20"/>
                <w:szCs w:val="20"/>
                <w:lang w:val="tr-TR" w:eastAsia="tr-TR"/>
              </w:rPr>
            </w:pPr>
            <w:r w:rsidRPr="00943DE7">
              <w:rPr>
                <w:rFonts w:eastAsia="Times New Roman" w:cs="Arial"/>
                <w:b/>
                <w:bCs/>
                <w:color w:val="FFFFFF"/>
                <w:sz w:val="20"/>
                <w:szCs w:val="20"/>
                <w:lang w:val="tr-TR" w:eastAsia="tr-TR"/>
              </w:rPr>
              <w:t>Gizli Yoksullaşma Oranı</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(Düzenli Ücretli Çalışanlar)</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-7,7%</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(İşverenler)</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-6,2%</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(Kendi Hesabına Çalışanlar)</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-7,6%</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(Ücretsiz Aile Çalışanları)</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-6,0%</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(Yevmiyeli (Gündelik) Çalışanlar)</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-12,4%</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(Çalışmayanlar)</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-9,8%</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MESLEĞE GÖRE</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(Büro Hizmetlerinde Çalışan Elemanlar)</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-8,2%</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(Çalışmayanlar)</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-9,8%</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(Hizmet Ve Satış Elemanları)</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-8,4%</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(Nitelik Gerektirmeyen İşlerde Çalışanlar)</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-11,2%</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(Nitelikli Tarım, Ormancılık Ve Su Ürünleri Çalışanları)</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-7,7%</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(Profesyonel Meslek Mensupları)</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-4,3%</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w:t>
            </w:r>
            <w:proofErr w:type="gramStart"/>
            <w:r w:rsidRPr="00943DE7">
              <w:rPr>
                <w:rFonts w:eastAsia="Times New Roman" w:cs="Arial"/>
                <w:color w:val="000000"/>
                <w:sz w:val="20"/>
                <w:szCs w:val="20"/>
                <w:lang w:val="tr-TR" w:eastAsia="tr-TR"/>
              </w:rPr>
              <w:t>Sanatkarlar</w:t>
            </w:r>
            <w:proofErr w:type="gramEnd"/>
            <w:r w:rsidRPr="00943DE7">
              <w:rPr>
                <w:rFonts w:eastAsia="Times New Roman" w:cs="Arial"/>
                <w:color w:val="000000"/>
                <w:sz w:val="20"/>
                <w:szCs w:val="20"/>
                <w:lang w:val="tr-TR" w:eastAsia="tr-TR"/>
              </w:rPr>
              <w:t xml:space="preserve"> Ve İlgili İşlerde Çalışanlar)</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-9,1%</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(Teknisyenler, Teknikerler Ve Yardımcı Profesyonel Meslek Mensupları)</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-6,7%</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(Tesis Ve Makine Operatörleri Ve Montajcılar)</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-10,6%</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xml:space="preserve"> (Yöneticiler)</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-6,3%</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TEMEL GELİR KAYNAĞINA GÖRE</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Ücret, yevmiye</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-8,0%</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proofErr w:type="spellStart"/>
            <w:r w:rsidRPr="00943DE7">
              <w:rPr>
                <w:rFonts w:eastAsia="Times New Roman" w:cs="Arial"/>
                <w:color w:val="000000"/>
                <w:sz w:val="20"/>
                <w:szCs w:val="20"/>
                <w:lang w:val="tr-TR" w:eastAsia="tr-TR"/>
              </w:rPr>
              <w:t>Mütesebbis</w:t>
            </w:r>
            <w:proofErr w:type="spellEnd"/>
            <w:r w:rsidRPr="00943DE7">
              <w:rPr>
                <w:rFonts w:eastAsia="Times New Roman" w:cs="Arial"/>
                <w:color w:val="000000"/>
                <w:sz w:val="20"/>
                <w:szCs w:val="20"/>
                <w:lang w:val="tr-TR" w:eastAsia="tr-TR"/>
              </w:rPr>
              <w:t xml:space="preserve"> Geliri</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-7,4%</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Emekli aylığı</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-9,5%</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Diğer Transferler</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-11,1%</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Gayrimenkul Kira Geliri Ve Menkul Kıymet Faiz Geliri</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-9,8%</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GELİR GRUPLARINA GÖRE</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 </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1. Yüzde 20 En Yoksul</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-11,1%</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2. Yüzde 20</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-9,9%</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3. Yüzde 20</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-9,8%</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4. Yüzde 20</w:t>
            </w:r>
          </w:p>
        </w:tc>
        <w:tc>
          <w:tcPr>
            <w:tcW w:w="2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-9,8%</w:t>
            </w:r>
          </w:p>
        </w:tc>
      </w:tr>
      <w:tr w:rsidR="00943DE7" w:rsidRPr="00943DE7" w:rsidTr="004902F0">
        <w:trPr>
          <w:trHeight w:val="260"/>
        </w:trPr>
        <w:tc>
          <w:tcPr>
            <w:tcW w:w="74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5. Yüzde 20 En Zengin</w:t>
            </w:r>
          </w:p>
        </w:tc>
        <w:tc>
          <w:tcPr>
            <w:tcW w:w="27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20"/>
                <w:szCs w:val="20"/>
                <w:lang w:val="tr-TR" w:eastAsia="tr-TR"/>
              </w:rPr>
            </w:pPr>
            <w:r w:rsidRPr="00943DE7">
              <w:rPr>
                <w:rFonts w:eastAsia="Times New Roman" w:cs="Arial"/>
                <w:color w:val="000000"/>
                <w:sz w:val="20"/>
                <w:szCs w:val="20"/>
                <w:lang w:val="tr-TR" w:eastAsia="tr-TR"/>
              </w:rPr>
              <w:t>-6,0%</w:t>
            </w:r>
          </w:p>
        </w:tc>
      </w:tr>
    </w:tbl>
    <w:p w:rsidR="00943DE7" w:rsidRPr="00943DE7" w:rsidRDefault="00943DE7" w:rsidP="00943DE7">
      <w:pPr>
        <w:spacing w:after="240" w:line="360" w:lineRule="auto"/>
        <w:jc w:val="both"/>
        <w:rPr>
          <w:rStyle w:val="apple-style-span"/>
          <w:color w:val="000000"/>
          <w:shd w:val="clear" w:color="auto" w:fill="FFFFFF"/>
          <w:lang w:val="tr-TR"/>
        </w:rPr>
      </w:pPr>
    </w:p>
    <w:p w:rsidR="00943DE7" w:rsidRPr="00943DE7" w:rsidRDefault="00943DE7" w:rsidP="00943DE7">
      <w:pPr>
        <w:spacing w:after="240" w:line="360" w:lineRule="auto"/>
        <w:jc w:val="both"/>
        <w:rPr>
          <w:rStyle w:val="apple-style-span"/>
          <w:b/>
          <w:color w:val="000000"/>
          <w:shd w:val="clear" w:color="auto" w:fill="FFFFFF"/>
          <w:lang w:val="tr-TR"/>
        </w:rPr>
      </w:pPr>
      <w:r w:rsidRPr="00943DE7">
        <w:rPr>
          <w:rStyle w:val="apple-style-span"/>
          <w:b/>
          <w:color w:val="000000"/>
          <w:shd w:val="clear" w:color="auto" w:fill="FFFFFF"/>
          <w:lang w:val="tr-TR"/>
        </w:rPr>
        <w:t>TABLO 3- GELİR GRUPLARINA GÖRE ENFLASYON ARTIŞ ORANLARI</w:t>
      </w:r>
    </w:p>
    <w:tbl>
      <w:tblPr>
        <w:tblW w:w="8980" w:type="dxa"/>
        <w:tblCellMar>
          <w:left w:w="70" w:type="dxa"/>
          <w:right w:w="70" w:type="dxa"/>
        </w:tblCellMar>
        <w:tblLook w:val="04A0" w:firstRow="1" w:lastRow="0" w:firstColumn="1" w:lastColumn="0" w:noHBand="0" w:noVBand="1"/>
      </w:tblPr>
      <w:tblGrid>
        <w:gridCol w:w="4880"/>
        <w:gridCol w:w="920"/>
        <w:gridCol w:w="1060"/>
        <w:gridCol w:w="1060"/>
        <w:gridCol w:w="1060"/>
      </w:tblGrid>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943DE7" w:rsidRPr="00943DE7" w:rsidRDefault="00943DE7" w:rsidP="004902F0">
            <w:pPr>
              <w:rPr>
                <w:rFonts w:eastAsia="Times New Roman" w:cs="Arial"/>
                <w:b/>
                <w:bCs/>
                <w:color w:val="FFFFFF"/>
                <w:sz w:val="16"/>
                <w:szCs w:val="16"/>
                <w:lang w:val="tr-TR" w:eastAsia="tr-TR"/>
              </w:rPr>
            </w:pPr>
            <w:r w:rsidRPr="00943DE7">
              <w:rPr>
                <w:rFonts w:eastAsia="Times New Roman" w:cs="Arial"/>
                <w:b/>
                <w:bCs/>
                <w:color w:val="FFFFFF"/>
                <w:sz w:val="16"/>
                <w:szCs w:val="16"/>
                <w:lang w:val="tr-TR" w:eastAsia="tr-TR"/>
              </w:rPr>
              <w:t>GELİR GRUPLARI</w:t>
            </w:r>
          </w:p>
        </w:tc>
        <w:tc>
          <w:tcPr>
            <w:tcW w:w="92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943DE7" w:rsidRPr="00943DE7" w:rsidRDefault="00943DE7" w:rsidP="004902F0">
            <w:pPr>
              <w:rPr>
                <w:rFonts w:eastAsia="Times New Roman" w:cs="Arial"/>
                <w:b/>
                <w:bCs/>
                <w:color w:val="FFFFFF"/>
                <w:sz w:val="16"/>
                <w:szCs w:val="16"/>
                <w:lang w:val="tr-TR" w:eastAsia="tr-TR"/>
              </w:rPr>
            </w:pPr>
            <w:r w:rsidRPr="00943DE7">
              <w:rPr>
                <w:rFonts w:eastAsia="Times New Roman" w:cs="Arial"/>
                <w:b/>
                <w:bCs/>
                <w:color w:val="FFFFFF"/>
                <w:sz w:val="16"/>
                <w:szCs w:val="16"/>
                <w:lang w:val="tr-TR" w:eastAsia="tr-TR"/>
              </w:rPr>
              <w:t>14 yıl</w:t>
            </w:r>
          </w:p>
        </w:tc>
        <w:tc>
          <w:tcPr>
            <w:tcW w:w="10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943DE7" w:rsidRPr="00943DE7" w:rsidRDefault="00943DE7" w:rsidP="004902F0">
            <w:pPr>
              <w:rPr>
                <w:rFonts w:eastAsia="Times New Roman" w:cs="Arial"/>
                <w:b/>
                <w:bCs/>
                <w:color w:val="FFFFFF"/>
                <w:sz w:val="16"/>
                <w:szCs w:val="16"/>
                <w:lang w:val="tr-TR" w:eastAsia="tr-TR"/>
              </w:rPr>
            </w:pPr>
            <w:r w:rsidRPr="00943DE7">
              <w:rPr>
                <w:rFonts w:eastAsia="Times New Roman" w:cs="Arial"/>
                <w:b/>
                <w:bCs/>
                <w:color w:val="FFFFFF"/>
                <w:sz w:val="16"/>
                <w:szCs w:val="16"/>
                <w:lang w:val="tr-TR" w:eastAsia="tr-TR"/>
              </w:rPr>
              <w:t>10 YIL</w:t>
            </w:r>
          </w:p>
        </w:tc>
        <w:tc>
          <w:tcPr>
            <w:tcW w:w="10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943DE7" w:rsidRPr="00943DE7" w:rsidRDefault="00943DE7" w:rsidP="004902F0">
            <w:pPr>
              <w:rPr>
                <w:rFonts w:eastAsia="Times New Roman" w:cs="Arial"/>
                <w:b/>
                <w:bCs/>
                <w:color w:val="FFFFFF"/>
                <w:sz w:val="16"/>
                <w:szCs w:val="16"/>
                <w:lang w:val="tr-TR" w:eastAsia="tr-TR"/>
              </w:rPr>
            </w:pPr>
            <w:r w:rsidRPr="00943DE7">
              <w:rPr>
                <w:rFonts w:eastAsia="Times New Roman" w:cs="Arial"/>
                <w:b/>
                <w:bCs/>
                <w:color w:val="FFFFFF"/>
                <w:sz w:val="16"/>
                <w:szCs w:val="16"/>
                <w:lang w:val="tr-TR" w:eastAsia="tr-TR"/>
              </w:rPr>
              <w:t>1 YIL</w:t>
            </w:r>
          </w:p>
        </w:tc>
        <w:tc>
          <w:tcPr>
            <w:tcW w:w="1060" w:type="dxa"/>
            <w:tcBorders>
              <w:top w:val="single" w:sz="4" w:space="0" w:color="auto"/>
              <w:left w:val="single" w:sz="4" w:space="0" w:color="auto"/>
              <w:bottom w:val="single" w:sz="4" w:space="0" w:color="auto"/>
              <w:right w:val="single" w:sz="4" w:space="0" w:color="auto"/>
            </w:tcBorders>
            <w:shd w:val="clear" w:color="4F81BD" w:fill="4F81BD"/>
            <w:noWrap/>
            <w:vAlign w:val="bottom"/>
            <w:hideMark/>
          </w:tcPr>
          <w:p w:rsidR="00943DE7" w:rsidRPr="00943DE7" w:rsidRDefault="00943DE7" w:rsidP="004902F0">
            <w:pPr>
              <w:rPr>
                <w:rFonts w:eastAsia="Times New Roman" w:cs="Arial"/>
                <w:b/>
                <w:bCs/>
                <w:color w:val="FFFFFF"/>
                <w:sz w:val="16"/>
                <w:szCs w:val="16"/>
                <w:lang w:val="tr-TR" w:eastAsia="tr-TR"/>
              </w:rPr>
            </w:pPr>
            <w:r w:rsidRPr="00943DE7">
              <w:rPr>
                <w:rFonts w:eastAsia="Times New Roman" w:cs="Arial"/>
                <w:b/>
                <w:bCs/>
                <w:color w:val="FFFFFF"/>
                <w:sz w:val="16"/>
                <w:szCs w:val="16"/>
                <w:lang w:val="tr-TR" w:eastAsia="tr-TR"/>
              </w:rPr>
              <w:t>1 AY</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GENEL ENFLASYON</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216,3%</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120,7%</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9,22%</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2,46%</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İŞTEKİ DURUMA GÖRE</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(Düzenli Ücretli Çalışanlar)</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242,6%</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120,3%</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9,60%</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2,22%</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(İşverenler)</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237,2%</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117,2%</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9,82%</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2,09%</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(Kendi Hesabına Çalışanlar)</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242,4%</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123,8%</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9,79%</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2,65%</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(Ücretsiz Aile Çalışanları)</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236,3%</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120,3%</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9,75%</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2,40%</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(Yevmiyeli (Gündelik) Çalışanlar)</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260,9%</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129,2%</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9,67%</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2,53%</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(Çalışmayanlar)</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250,8%</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123,8%</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9,36%</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2,57%</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MESLEĞE GÖRE</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(Büro Hizmetlerinde Çalışan Elemanlar)</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244,6%</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119,6%</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9,37%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2,13%</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(Çalışmayanlar)</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250,8%</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123,8%</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9,36%</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2,57%</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(Hizmet Ve Satış Elemanları)</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245,4%</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122,6%</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9,69%</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2,32%</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(Nitelik Gerektirmeyen İşlerde Çalışanlar)</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256,2%</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126,9%</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9,35%</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2,48%</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(Nitelikli Tarım, Ormancılık Ve Su Ürünleri Çalışanları)</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242,6%</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126,4%</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9,59%</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2,97%</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(Profesyonel Meslek Mensupları)</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230,5%</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114,6%</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9,85%</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2,00%</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w:t>
            </w:r>
            <w:proofErr w:type="gramStart"/>
            <w:r w:rsidRPr="00943DE7">
              <w:rPr>
                <w:rFonts w:eastAsia="Times New Roman" w:cs="Arial"/>
                <w:color w:val="000000"/>
                <w:sz w:val="16"/>
                <w:szCs w:val="16"/>
                <w:lang w:val="tr-TR" w:eastAsia="tr-TR"/>
              </w:rPr>
              <w:t>Sanatkarlar</w:t>
            </w:r>
            <w:proofErr w:type="gramEnd"/>
            <w:r w:rsidRPr="00943DE7">
              <w:rPr>
                <w:rFonts w:eastAsia="Times New Roman" w:cs="Arial"/>
                <w:color w:val="000000"/>
                <w:sz w:val="16"/>
                <w:szCs w:val="16"/>
                <w:lang w:val="tr-TR" w:eastAsia="tr-TR"/>
              </w:rPr>
              <w:t xml:space="preserve"> Ve İlgili İşlerde Çalışanlar)</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247,9%</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123,7%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9,68%</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2,48%</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(Teknisyenler, Teknikerler Ve Yardımcı Profesyonel Meslek Mensupları)</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238,9%</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117,8%</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9,53%</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2,17%</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(Tesis Ve Makine Operatörleri Ve Montajcılar)</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253,7%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126,3%</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9,69%</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2,41%</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xml:space="preserve"> (Yöneticiler)</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237,5%</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117,4%</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9,82%</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2,08%</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TEMEL GELİR KAYNAĞINA GÖRE</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Ücret, yevmiye</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243,8%</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121,1%</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9,60%</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2,27%</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proofErr w:type="spellStart"/>
            <w:r w:rsidRPr="00943DE7">
              <w:rPr>
                <w:rFonts w:eastAsia="Times New Roman" w:cs="Arial"/>
                <w:color w:val="000000"/>
                <w:sz w:val="16"/>
                <w:szCs w:val="16"/>
                <w:lang w:val="tr-TR" w:eastAsia="tr-TR"/>
              </w:rPr>
              <w:t>Mütesebbis</w:t>
            </w:r>
            <w:proofErr w:type="spellEnd"/>
            <w:r w:rsidRPr="00943DE7">
              <w:rPr>
                <w:rFonts w:eastAsia="Times New Roman" w:cs="Arial"/>
                <w:color w:val="000000"/>
                <w:sz w:val="16"/>
                <w:szCs w:val="16"/>
                <w:lang w:val="tr-TR" w:eastAsia="tr-TR"/>
              </w:rPr>
              <w:t xml:space="preserve"> Geliri</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241,5%</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122,5%</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9,99%</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2,45%</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Emekli aylığı</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249,4%</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124,0%</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9,33%</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2,72%</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Diğer Transferler</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255,8%</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123,9%</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8,98%</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2,48%</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Gayrimenkul Kira Geliri Ve Menkul Kıymet Faiz Geliri</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250,8%</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118,7%</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8,93%</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2,32%</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GELİR GRUPLARINA GÖRE</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 </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 Yüzde 20 En Yoksul</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255,7%</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128,0%</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9,08%</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2,78%</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 Yüzde 20</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251,2%</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125,9%</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9,23%</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2,63%</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3. Yüzde 20</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250,7%</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125,1%</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9,48%</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2,51%</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4. Yüzde 20</w:t>
            </w:r>
          </w:p>
        </w:tc>
        <w:tc>
          <w:tcPr>
            <w:tcW w:w="9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250,7%</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125,1%</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9,48%</w:t>
            </w:r>
          </w:p>
        </w:tc>
        <w:tc>
          <w:tcPr>
            <w:tcW w:w="106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2,51%</w:t>
            </w:r>
          </w:p>
        </w:tc>
      </w:tr>
      <w:tr w:rsidR="00943DE7" w:rsidRPr="00943DE7" w:rsidTr="004902F0">
        <w:trPr>
          <w:trHeight w:val="260"/>
        </w:trPr>
        <w:tc>
          <w:tcPr>
            <w:tcW w:w="488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5. Yüzde 20 En Zengin</w:t>
            </w:r>
          </w:p>
        </w:tc>
        <w:tc>
          <w:tcPr>
            <w:tcW w:w="92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236,4%</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116,4%</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9,81%</w:t>
            </w:r>
          </w:p>
        </w:tc>
        <w:tc>
          <w:tcPr>
            <w:tcW w:w="1060" w:type="dxa"/>
            <w:tcBorders>
              <w:top w:val="single" w:sz="4" w:space="0" w:color="auto"/>
              <w:left w:val="single" w:sz="4" w:space="0" w:color="auto"/>
              <w:bottom w:val="single" w:sz="4" w:space="0" w:color="auto"/>
              <w:right w:val="single" w:sz="4" w:space="0" w:color="auto"/>
            </w:tcBorders>
            <w:shd w:val="clear" w:color="B8CCE4" w:fill="B8CCE4"/>
            <w:noWrap/>
            <w:vAlign w:val="bottom"/>
            <w:hideMark/>
          </w:tcPr>
          <w:p w:rsidR="00943DE7" w:rsidRPr="00943DE7" w:rsidRDefault="00943DE7" w:rsidP="004902F0">
            <w:pPr>
              <w:rPr>
                <w:rFonts w:eastAsia="Times New Roman" w:cs="Arial"/>
                <w:color w:val="000000"/>
                <w:sz w:val="16"/>
                <w:szCs w:val="16"/>
                <w:lang w:val="tr-TR" w:eastAsia="tr-TR"/>
              </w:rPr>
            </w:pPr>
            <w:r w:rsidRPr="00943DE7">
              <w:rPr>
                <w:rFonts w:eastAsia="Times New Roman" w:cs="Arial"/>
                <w:color w:val="000000"/>
                <w:sz w:val="16"/>
                <w:szCs w:val="16"/>
                <w:lang w:val="tr-TR" w:eastAsia="tr-TR"/>
              </w:rPr>
              <w:t>2,05%</w:t>
            </w:r>
          </w:p>
        </w:tc>
      </w:tr>
    </w:tbl>
    <w:p w:rsidR="0092001C" w:rsidRPr="009A3D19" w:rsidRDefault="0092001C" w:rsidP="00943DE7">
      <w:pPr>
        <w:jc w:val="right"/>
      </w:pPr>
    </w:p>
    <w:sectPr w:rsidR="0092001C" w:rsidRPr="009A3D19"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87F4214"/>
    <w:multiLevelType w:val="multilevel"/>
    <w:tmpl w:val="65E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4F105533"/>
    <w:multiLevelType w:val="hybridMultilevel"/>
    <w:tmpl w:val="8CDC44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6"/>
  </w:num>
  <w:num w:numId="4">
    <w:abstractNumId w:val="12"/>
  </w:num>
  <w:num w:numId="5">
    <w:abstractNumId w:val="11"/>
  </w:num>
  <w:num w:numId="6">
    <w:abstractNumId w:val="0"/>
  </w:num>
  <w:num w:numId="7">
    <w:abstractNumId w:val="5"/>
  </w:num>
  <w:num w:numId="8">
    <w:abstractNumId w:val="7"/>
  </w:num>
  <w:num w:numId="9">
    <w:abstractNumId w:val="13"/>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4"/>
  </w:num>
  <w:num w:numId="16">
    <w:abstractNumId w:val="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C24A8"/>
    <w:rsid w:val="000D348A"/>
    <w:rsid w:val="000D3C19"/>
    <w:rsid w:val="000D56E9"/>
    <w:rsid w:val="00132346"/>
    <w:rsid w:val="001339D5"/>
    <w:rsid w:val="0015189D"/>
    <w:rsid w:val="0016484A"/>
    <w:rsid w:val="0018037A"/>
    <w:rsid w:val="00196C01"/>
    <w:rsid w:val="001A324E"/>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538D8"/>
    <w:rsid w:val="00462097"/>
    <w:rsid w:val="00465623"/>
    <w:rsid w:val="00476AE2"/>
    <w:rsid w:val="00497A55"/>
    <w:rsid w:val="004C2F5C"/>
    <w:rsid w:val="004C46F3"/>
    <w:rsid w:val="004D180E"/>
    <w:rsid w:val="004D34BB"/>
    <w:rsid w:val="004E088B"/>
    <w:rsid w:val="004F111B"/>
    <w:rsid w:val="004F5B22"/>
    <w:rsid w:val="005134AD"/>
    <w:rsid w:val="0051441A"/>
    <w:rsid w:val="00521115"/>
    <w:rsid w:val="00524D59"/>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43DE7"/>
    <w:rsid w:val="00951D3A"/>
    <w:rsid w:val="00967924"/>
    <w:rsid w:val="00970A06"/>
    <w:rsid w:val="00983F9D"/>
    <w:rsid w:val="00986C4E"/>
    <w:rsid w:val="00995002"/>
    <w:rsid w:val="009A117B"/>
    <w:rsid w:val="009A3D19"/>
    <w:rsid w:val="009A764B"/>
    <w:rsid w:val="009B7182"/>
    <w:rsid w:val="009C0C85"/>
    <w:rsid w:val="009E034F"/>
    <w:rsid w:val="009E11A1"/>
    <w:rsid w:val="009E5348"/>
    <w:rsid w:val="009E6BCB"/>
    <w:rsid w:val="009F1DF3"/>
    <w:rsid w:val="00A10313"/>
    <w:rsid w:val="00A12822"/>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AF5570"/>
    <w:rsid w:val="00B01270"/>
    <w:rsid w:val="00B04F14"/>
    <w:rsid w:val="00B05F24"/>
    <w:rsid w:val="00B320D8"/>
    <w:rsid w:val="00B448E6"/>
    <w:rsid w:val="00B44F5B"/>
    <w:rsid w:val="00B54156"/>
    <w:rsid w:val="00B55F17"/>
    <w:rsid w:val="00B61DCD"/>
    <w:rsid w:val="00B822B5"/>
    <w:rsid w:val="00B82F9B"/>
    <w:rsid w:val="00B836EB"/>
    <w:rsid w:val="00BA09E3"/>
    <w:rsid w:val="00BB0208"/>
    <w:rsid w:val="00BD19F0"/>
    <w:rsid w:val="00BD62F5"/>
    <w:rsid w:val="00BE6D99"/>
    <w:rsid w:val="00C002DD"/>
    <w:rsid w:val="00C035C1"/>
    <w:rsid w:val="00C042E4"/>
    <w:rsid w:val="00C048B6"/>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 w:id="2096783926">
      <w:bodyDiv w:val="1"/>
      <w:marLeft w:val="0"/>
      <w:marRight w:val="0"/>
      <w:marTop w:val="0"/>
      <w:marBottom w:val="0"/>
      <w:divBdr>
        <w:top w:val="none" w:sz="0" w:space="0" w:color="auto"/>
        <w:left w:val="none" w:sz="0" w:space="0" w:color="auto"/>
        <w:bottom w:val="none" w:sz="0" w:space="0" w:color="auto"/>
        <w:right w:val="none" w:sz="0" w:space="0" w:color="auto"/>
      </w:divBdr>
      <w:divsChild>
        <w:div w:id="331494673">
          <w:marLeft w:val="0"/>
          <w:marRight w:val="0"/>
          <w:marTop w:val="0"/>
          <w:marBottom w:val="420"/>
          <w:divBdr>
            <w:top w:val="none" w:sz="0" w:space="0" w:color="auto"/>
            <w:left w:val="none" w:sz="0" w:space="0" w:color="auto"/>
            <w:bottom w:val="none" w:sz="0" w:space="0" w:color="auto"/>
            <w:right w:val="none" w:sz="0" w:space="0" w:color="auto"/>
          </w:divBdr>
        </w:div>
        <w:div w:id="1755282435">
          <w:marLeft w:val="0"/>
          <w:marRight w:val="0"/>
          <w:marTop w:val="0"/>
          <w:marBottom w:val="420"/>
          <w:divBdr>
            <w:top w:val="none" w:sz="0" w:space="0" w:color="auto"/>
            <w:left w:val="none" w:sz="0" w:space="0" w:color="auto"/>
            <w:bottom w:val="none" w:sz="0" w:space="0" w:color="auto"/>
            <w:right w:val="none" w:sz="0" w:space="0" w:color="auto"/>
          </w:divBdr>
        </w:div>
        <w:div w:id="791828647">
          <w:marLeft w:val="0"/>
          <w:marRight w:val="0"/>
          <w:marTop w:val="0"/>
          <w:marBottom w:val="420"/>
          <w:divBdr>
            <w:top w:val="none" w:sz="0" w:space="0" w:color="auto"/>
            <w:left w:val="none" w:sz="0" w:space="0" w:color="auto"/>
            <w:bottom w:val="none" w:sz="0" w:space="0" w:color="auto"/>
            <w:right w:val="none" w:sz="0" w:space="0" w:color="auto"/>
          </w:divBdr>
        </w:div>
        <w:div w:id="833298348">
          <w:marLeft w:val="0"/>
          <w:marRight w:val="0"/>
          <w:marTop w:val="0"/>
          <w:marBottom w:val="420"/>
          <w:divBdr>
            <w:top w:val="none" w:sz="0" w:space="0" w:color="auto"/>
            <w:left w:val="none" w:sz="0" w:space="0" w:color="auto"/>
            <w:bottom w:val="none" w:sz="0" w:space="0" w:color="auto"/>
            <w:right w:val="none" w:sz="0" w:space="0" w:color="auto"/>
          </w:divBdr>
        </w:div>
        <w:div w:id="10686947">
          <w:marLeft w:val="0"/>
          <w:marRight w:val="0"/>
          <w:marTop w:val="0"/>
          <w:marBottom w:val="420"/>
          <w:divBdr>
            <w:top w:val="none" w:sz="0" w:space="0" w:color="auto"/>
            <w:left w:val="none" w:sz="0" w:space="0" w:color="auto"/>
            <w:bottom w:val="none" w:sz="0" w:space="0" w:color="auto"/>
            <w:right w:val="none" w:sz="0" w:space="0" w:color="auto"/>
          </w:divBdr>
        </w:div>
        <w:div w:id="891111750">
          <w:marLeft w:val="0"/>
          <w:marRight w:val="0"/>
          <w:marTop w:val="0"/>
          <w:marBottom w:val="420"/>
          <w:divBdr>
            <w:top w:val="none" w:sz="0" w:space="0" w:color="auto"/>
            <w:left w:val="none" w:sz="0" w:space="0" w:color="auto"/>
            <w:bottom w:val="none" w:sz="0" w:space="0" w:color="auto"/>
            <w:right w:val="none" w:sz="0" w:space="0" w:color="auto"/>
          </w:divBdr>
        </w:div>
        <w:div w:id="359405578">
          <w:marLeft w:val="0"/>
          <w:marRight w:val="0"/>
          <w:marTop w:val="0"/>
          <w:marBottom w:val="420"/>
          <w:divBdr>
            <w:top w:val="none" w:sz="0" w:space="0" w:color="auto"/>
            <w:left w:val="none" w:sz="0" w:space="0" w:color="auto"/>
            <w:bottom w:val="none" w:sz="0" w:space="0" w:color="auto"/>
            <w:right w:val="none" w:sz="0" w:space="0" w:color="auto"/>
          </w:divBdr>
        </w:div>
        <w:div w:id="123597129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23A8-1E82-4181-AA68-4F10EE8F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1352</Words>
  <Characters>7707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4</cp:revision>
  <cp:lastPrinted>2017-01-24T06:17:00Z</cp:lastPrinted>
  <dcterms:created xsi:type="dcterms:W3CDTF">2017-02-03T11:00:00Z</dcterms:created>
  <dcterms:modified xsi:type="dcterms:W3CDTF">2017-02-03T11:04:00Z</dcterms:modified>
</cp:coreProperties>
</file>