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6A7319" w:rsidRDefault="00EB33D4" w:rsidP="008744E2">
      <w:pPr>
        <w:jc w:val="right"/>
        <w:rPr>
          <w:color w:val="000000" w:themeColor="text1"/>
          <w:sz w:val="24"/>
          <w:szCs w:val="24"/>
        </w:rPr>
      </w:pPr>
      <w:r w:rsidRPr="006A7319">
        <w:rPr>
          <w:b/>
          <w:color w:val="000000" w:themeColor="text1"/>
          <w:sz w:val="24"/>
          <w:szCs w:val="24"/>
        </w:rPr>
        <w:br/>
      </w:r>
      <w:r w:rsidR="009E1BBA" w:rsidRPr="006A7319">
        <w:rPr>
          <w:b/>
          <w:color w:val="000000" w:themeColor="text1"/>
          <w:sz w:val="24"/>
          <w:szCs w:val="24"/>
        </w:rPr>
        <w:t>0</w:t>
      </w:r>
      <w:r w:rsidR="006A7319">
        <w:rPr>
          <w:b/>
          <w:color w:val="000000" w:themeColor="text1"/>
          <w:sz w:val="24"/>
          <w:szCs w:val="24"/>
        </w:rPr>
        <w:t>3</w:t>
      </w:r>
      <w:r w:rsidR="00EE6535" w:rsidRPr="006A7319">
        <w:rPr>
          <w:b/>
          <w:color w:val="000000" w:themeColor="text1"/>
          <w:sz w:val="24"/>
          <w:szCs w:val="24"/>
        </w:rPr>
        <w:t>.0</w:t>
      </w:r>
      <w:r w:rsidR="009E1BBA" w:rsidRPr="006A7319">
        <w:rPr>
          <w:b/>
          <w:color w:val="000000" w:themeColor="text1"/>
          <w:sz w:val="24"/>
          <w:szCs w:val="24"/>
        </w:rPr>
        <w:t>3</w:t>
      </w:r>
      <w:r w:rsidR="0092001C" w:rsidRPr="006A7319">
        <w:rPr>
          <w:b/>
          <w:color w:val="000000" w:themeColor="text1"/>
          <w:sz w:val="24"/>
          <w:szCs w:val="24"/>
        </w:rPr>
        <w:t>.201</w:t>
      </w:r>
      <w:r w:rsidR="00444601" w:rsidRPr="006A7319">
        <w:rPr>
          <w:b/>
          <w:color w:val="000000" w:themeColor="text1"/>
          <w:sz w:val="24"/>
          <w:szCs w:val="24"/>
        </w:rPr>
        <w:t>7</w:t>
      </w:r>
    </w:p>
    <w:p w:rsidR="006A7319" w:rsidRPr="006A7319" w:rsidRDefault="006A7319" w:rsidP="006A7319">
      <w:pPr>
        <w:spacing w:after="0"/>
        <w:jc w:val="center"/>
        <w:rPr>
          <w:rStyle w:val="apple-style-span"/>
          <w:rFonts w:ascii="Arial Narrow" w:eastAsiaTheme="minorHAnsi" w:hAnsi="Arial Narrow"/>
          <w:b/>
          <w:color w:val="000000" w:themeColor="text1"/>
          <w:sz w:val="28"/>
          <w:szCs w:val="28"/>
          <w:shd w:val="clear" w:color="auto" w:fill="FFFFFF"/>
        </w:rPr>
      </w:pPr>
      <w:r w:rsidRPr="006A7319">
        <w:rPr>
          <w:rStyle w:val="apple-style-span"/>
          <w:rFonts w:ascii="Arial Narrow" w:hAnsi="Arial Narrow"/>
          <w:b/>
          <w:color w:val="000000" w:themeColor="text1"/>
          <w:sz w:val="28"/>
          <w:szCs w:val="28"/>
          <w:shd w:val="clear" w:color="auto" w:fill="FFFFFF"/>
        </w:rPr>
        <w:t>Birleşik Metal-İş Sendikası Sınıf Araştırmaları Merkezi (BİSAM)</w:t>
      </w:r>
    </w:p>
    <w:p w:rsidR="006A7319" w:rsidRPr="006A7319" w:rsidRDefault="006A7319" w:rsidP="006A7319">
      <w:pPr>
        <w:spacing w:after="0"/>
        <w:jc w:val="center"/>
        <w:rPr>
          <w:rStyle w:val="apple-style-span"/>
          <w:rFonts w:ascii="Arial Narrow" w:hAnsi="Arial Narrow"/>
          <w:b/>
          <w:color w:val="000000" w:themeColor="text1"/>
          <w:sz w:val="28"/>
          <w:szCs w:val="28"/>
          <w:shd w:val="clear" w:color="auto" w:fill="FFFFFF"/>
        </w:rPr>
      </w:pPr>
      <w:r w:rsidRPr="006A7319">
        <w:rPr>
          <w:rStyle w:val="apple-style-span"/>
          <w:rFonts w:ascii="Arial Narrow" w:hAnsi="Arial Narrow"/>
          <w:b/>
          <w:color w:val="000000" w:themeColor="text1"/>
          <w:sz w:val="28"/>
          <w:szCs w:val="28"/>
          <w:shd w:val="clear" w:color="auto" w:fill="FFFFFF"/>
        </w:rPr>
        <w:t>Enflasyon ve Hayat Pahalılığı Dönem Raporu (ŞUBAT 2017)</w:t>
      </w:r>
    </w:p>
    <w:p w:rsidR="006A7319" w:rsidRPr="006A7319" w:rsidRDefault="006A7319" w:rsidP="006A7319">
      <w:pPr>
        <w:spacing w:line="360" w:lineRule="auto"/>
        <w:jc w:val="center"/>
        <w:rPr>
          <w:rStyle w:val="apple-style-span"/>
          <w:b/>
          <w:color w:val="000000" w:themeColor="text1"/>
          <w:sz w:val="24"/>
          <w:szCs w:val="24"/>
          <w:shd w:val="clear" w:color="auto" w:fill="FFFFFF"/>
        </w:rPr>
      </w:pPr>
      <w:proofErr w:type="gramStart"/>
      <w:r w:rsidRPr="006A7319">
        <w:rPr>
          <w:rStyle w:val="apple-style-span"/>
          <w:b/>
          <w:color w:val="000000" w:themeColor="text1"/>
          <w:sz w:val="24"/>
          <w:szCs w:val="24"/>
          <w:shd w:val="clear" w:color="auto" w:fill="FFFFFF"/>
        </w:rPr>
        <w:t>03/03/2017</w:t>
      </w:r>
      <w:proofErr w:type="gramEnd"/>
    </w:p>
    <w:p w:rsidR="006A7319" w:rsidRPr="006A7319" w:rsidRDefault="006A7319" w:rsidP="006A7319">
      <w:pPr>
        <w:tabs>
          <w:tab w:val="left" w:pos="3255"/>
        </w:tabs>
        <w:spacing w:line="360" w:lineRule="auto"/>
        <w:jc w:val="center"/>
        <w:rPr>
          <w:rStyle w:val="apple-style-span"/>
          <w:rFonts w:ascii="Arial Black" w:hAnsi="Arial Black"/>
          <w:b/>
          <w:color w:val="000000" w:themeColor="text1"/>
          <w:sz w:val="24"/>
          <w:szCs w:val="24"/>
          <w:shd w:val="clear" w:color="auto" w:fill="FFFFFF"/>
        </w:rPr>
      </w:pPr>
      <w:r w:rsidRPr="006A7319">
        <w:rPr>
          <w:rStyle w:val="apple-style-span"/>
          <w:rFonts w:ascii="Arial Black" w:hAnsi="Arial Black"/>
          <w:b/>
          <w:color w:val="000000" w:themeColor="text1"/>
          <w:sz w:val="24"/>
          <w:szCs w:val="24"/>
          <w:shd w:val="clear" w:color="auto" w:fill="FFFFFF"/>
        </w:rPr>
        <w:t>ENFLASYON YOKSULU İKİ KAT DAHA FAZLA YOKSULLAŞTIRDI</w:t>
      </w:r>
    </w:p>
    <w:p w:rsidR="006A7319" w:rsidRPr="006A7319" w:rsidRDefault="006A7319" w:rsidP="006A7319">
      <w:pPr>
        <w:pStyle w:val="ListeParagraf"/>
        <w:numPr>
          <w:ilvl w:val="0"/>
          <w:numId w:val="19"/>
        </w:numPr>
        <w:spacing w:before="120" w:after="120" w:line="360" w:lineRule="auto"/>
        <w:ind w:left="714" w:hanging="357"/>
        <w:rPr>
          <w:rStyle w:val="apple-style-span"/>
          <w:rFonts w:ascii="Arial Narrow" w:hAnsi="Arial Narrow"/>
          <w:b/>
          <w:color w:val="000000" w:themeColor="text1"/>
          <w:sz w:val="24"/>
          <w:szCs w:val="24"/>
          <w:shd w:val="clear" w:color="auto" w:fill="FFFFFF"/>
        </w:rPr>
      </w:pPr>
      <w:r w:rsidRPr="006A7319">
        <w:rPr>
          <w:rStyle w:val="apple-style-span"/>
          <w:rFonts w:ascii="Arial Narrow" w:hAnsi="Arial Narrow"/>
          <w:b/>
          <w:color w:val="000000" w:themeColor="text1"/>
          <w:sz w:val="24"/>
          <w:szCs w:val="24"/>
          <w:shd w:val="clear" w:color="auto" w:fill="FFFFFF"/>
        </w:rPr>
        <w:t>14 YILDA ENFLASYON HESAPLAMASINDAN KAYNAKLI YOKSULLAŞMA ZENGİNLERDE YÜZDE 5, YOKSULLARDA YÜZDE 11 OLDU</w:t>
      </w:r>
    </w:p>
    <w:p w:rsidR="006A7319" w:rsidRPr="006A7319" w:rsidRDefault="006A7319" w:rsidP="006A7319">
      <w:pPr>
        <w:pStyle w:val="ListeParagraf"/>
        <w:numPr>
          <w:ilvl w:val="0"/>
          <w:numId w:val="19"/>
        </w:numPr>
        <w:spacing w:before="120" w:after="120" w:line="360" w:lineRule="auto"/>
        <w:ind w:left="714" w:hanging="357"/>
        <w:rPr>
          <w:rStyle w:val="apple-style-span"/>
          <w:rFonts w:ascii="Arial Narrow" w:hAnsi="Arial Narrow"/>
          <w:b/>
          <w:color w:val="000000" w:themeColor="text1"/>
          <w:sz w:val="24"/>
          <w:szCs w:val="24"/>
        </w:rPr>
      </w:pPr>
      <w:r w:rsidRPr="006A7319">
        <w:rPr>
          <w:rFonts w:ascii="Arial Narrow" w:hAnsi="Arial Narrow"/>
          <w:b/>
          <w:color w:val="000000" w:themeColor="text1"/>
          <w:sz w:val="24"/>
          <w:szCs w:val="24"/>
        </w:rPr>
        <w:t>YOKSUL ENFLASYONDAN ZENGİNE GÖRE YAKLAŞIK İKİ KAT DAHA FAZLA ETKİLENDİ.</w:t>
      </w:r>
    </w:p>
    <w:p w:rsidR="006A7319" w:rsidRPr="006A7319" w:rsidRDefault="006A7319" w:rsidP="006A7319">
      <w:pPr>
        <w:pStyle w:val="ListeParagraf"/>
        <w:numPr>
          <w:ilvl w:val="0"/>
          <w:numId w:val="19"/>
        </w:numPr>
        <w:spacing w:before="120" w:after="120" w:line="360" w:lineRule="auto"/>
        <w:ind w:left="714" w:hanging="357"/>
        <w:rPr>
          <w:rStyle w:val="apple-style-span"/>
          <w:rFonts w:ascii="Arial Narrow" w:hAnsi="Arial Narrow"/>
          <w:b/>
          <w:color w:val="000000" w:themeColor="text1"/>
          <w:sz w:val="24"/>
          <w:szCs w:val="24"/>
          <w:shd w:val="clear" w:color="auto" w:fill="FFFFFF"/>
        </w:rPr>
      </w:pPr>
      <w:r w:rsidRPr="006A7319">
        <w:rPr>
          <w:rStyle w:val="apple-style-span"/>
          <w:rFonts w:ascii="Arial Narrow" w:hAnsi="Arial Narrow"/>
          <w:b/>
          <w:color w:val="000000" w:themeColor="text1"/>
          <w:sz w:val="24"/>
          <w:szCs w:val="24"/>
          <w:shd w:val="clear" w:color="auto" w:fill="FFFFFF"/>
        </w:rPr>
        <w:t>ŞUBAT ENFLASYONU KENDİ HESABINA ÇALIŞANLAR İÇİN YILLIK 10,7 OLDU</w:t>
      </w:r>
    </w:p>
    <w:p w:rsidR="006A7319" w:rsidRPr="006A7319" w:rsidRDefault="006A7319" w:rsidP="006A7319">
      <w:pPr>
        <w:pStyle w:val="ListeParagraf"/>
        <w:numPr>
          <w:ilvl w:val="0"/>
          <w:numId w:val="19"/>
        </w:numPr>
        <w:spacing w:before="120" w:after="120" w:line="360" w:lineRule="auto"/>
        <w:ind w:left="714" w:hanging="357"/>
        <w:rPr>
          <w:rStyle w:val="apple-style-span"/>
          <w:rFonts w:ascii="Arial Narrow" w:hAnsi="Arial Narrow"/>
          <w:b/>
          <w:color w:val="000000" w:themeColor="text1"/>
          <w:sz w:val="24"/>
          <w:szCs w:val="24"/>
          <w:shd w:val="clear" w:color="auto" w:fill="FFFFFF"/>
        </w:rPr>
      </w:pPr>
      <w:r w:rsidRPr="006A7319">
        <w:rPr>
          <w:rStyle w:val="apple-style-span"/>
          <w:rFonts w:ascii="Arial Narrow" w:hAnsi="Arial Narrow"/>
          <w:b/>
          <w:color w:val="000000" w:themeColor="text1"/>
          <w:sz w:val="24"/>
          <w:szCs w:val="24"/>
          <w:shd w:val="clear" w:color="auto" w:fill="FFFFFF"/>
        </w:rPr>
        <w:t>AYLIK ENFLASYON ÜCRETSİZ AİLE İŞÇİLERİ VE PROFESYONEL MESLEK SAHİPLERİ İÇİN YÜZDE 1’İN ÜZERİNDE</w:t>
      </w:r>
    </w:p>
    <w:p w:rsidR="006A7319" w:rsidRDefault="006A7319" w:rsidP="006A7319">
      <w:pPr>
        <w:spacing w:after="0" w:line="240" w:lineRule="auto"/>
        <w:jc w:val="both"/>
        <w:rPr>
          <w:rStyle w:val="apple-style-span"/>
          <w:color w:val="000000" w:themeColor="text1"/>
          <w:sz w:val="24"/>
          <w:szCs w:val="24"/>
          <w:shd w:val="clear" w:color="auto" w:fill="FFFFFF"/>
        </w:rPr>
      </w:pPr>
    </w:p>
    <w:p w:rsidR="006A7319" w:rsidRPr="006A7319" w:rsidRDefault="006A7319" w:rsidP="006A7319">
      <w:p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Birleşik Metal İş Sendikası Sınıf Araştırmaları Merkezi (BİSAM) tarafından hazırlanan Enflasyon ve Hayat Pahalılığı Şubat 2017 Dönem Raporu’nun sonuçlarına göre TÜİK tarafından yüzde 10,13 olarak açıklanan aylık Tüketici Fiyat Endeksi’ndeki artış, kendi hesabına çalışanlar için yüzde 10,76, düzenli ücretlilerde yüzde 10,43 olarak gerçekleşti. Enflasyondan en az etkilenenler yüzde 10,07 ile çalışmayanlar olanlar belirlendi. Resmi olarak yüzde 0,81 olan şubat ayı enflasyonu ise en çok yüzde 1,1’lik artış ile ücretsiz aile işçileri ve yüzde 1,07 ile profesyonel meslek sahiplerini etkiledi. Düzenli ücretliler için aylık enflasyon yüzde 1 sınırına geldi.</w:t>
      </w:r>
    </w:p>
    <w:p w:rsidR="006A7319" w:rsidRPr="006A7319" w:rsidRDefault="006A7319" w:rsidP="006A7319">
      <w:pPr>
        <w:spacing w:before="120" w:after="0" w:line="240" w:lineRule="auto"/>
        <w:jc w:val="both"/>
        <w:rPr>
          <w:rStyle w:val="apple-style-span"/>
          <w:rFonts w:ascii="Arial Narrow" w:hAnsi="Arial Narrow"/>
          <w:b/>
          <w:color w:val="000000" w:themeColor="text1"/>
          <w:sz w:val="24"/>
          <w:szCs w:val="24"/>
          <w:shd w:val="clear" w:color="auto" w:fill="FFFFFF"/>
        </w:rPr>
      </w:pPr>
      <w:r w:rsidRPr="006A7319">
        <w:rPr>
          <w:rStyle w:val="apple-style-span"/>
          <w:rFonts w:ascii="Arial Narrow" w:hAnsi="Arial Narrow"/>
          <w:b/>
          <w:color w:val="000000" w:themeColor="text1"/>
          <w:sz w:val="24"/>
          <w:szCs w:val="24"/>
          <w:shd w:val="clear" w:color="auto" w:fill="FFFFFF"/>
        </w:rPr>
        <w:t>ENFLASYON HESAPLAMASI NEDENİYLE HERKES KAYIP YAŞADI</w:t>
      </w:r>
    </w:p>
    <w:p w:rsidR="006A7319" w:rsidRPr="006A7319" w:rsidRDefault="006A7319" w:rsidP="006A7319">
      <w:p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 xml:space="preserve">BİSAM, TÜİK Tüketim Harcamaları İstatistikleri ve TÜİK Tüketici Fiyat Endeksi Harcama Gruplarına Göre Endeks Sonuçlarını kullanarak farklı gelir grupları için enflasyon hesaplaması yapıyor. </w:t>
      </w:r>
    </w:p>
    <w:p w:rsidR="006A7319" w:rsidRPr="006A7319" w:rsidRDefault="006A7319" w:rsidP="006A7319">
      <w:p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Bu hesaplamaya göre enflasyon çeşitli gelir ve tüketim grupları için farklı sonuçlar yaratıyor. Buna göre;</w:t>
      </w:r>
    </w:p>
    <w:p w:rsidR="006A7319" w:rsidRPr="006A7319" w:rsidRDefault="006A7319" w:rsidP="006A7319">
      <w:pPr>
        <w:pStyle w:val="ListeParagraf"/>
        <w:numPr>
          <w:ilvl w:val="0"/>
          <w:numId w:val="11"/>
        </w:num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 xml:space="preserve">Şubat 2003-Şubat 2017 dönemleri arasında genel TÜFE yüzde 214 artış gösterirken bu oran düzenli ücretlilerde yüzde 241, </w:t>
      </w:r>
    </w:p>
    <w:p w:rsidR="006A7319" w:rsidRPr="006A7319" w:rsidRDefault="006A7319" w:rsidP="006A7319">
      <w:pPr>
        <w:pStyle w:val="ListeParagraf"/>
        <w:numPr>
          <w:ilvl w:val="0"/>
          <w:numId w:val="11"/>
        </w:num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 xml:space="preserve">Çalışmayanlar için yüzde 248, </w:t>
      </w:r>
    </w:p>
    <w:p w:rsidR="006A7319" w:rsidRPr="006A7319" w:rsidRDefault="006A7319" w:rsidP="006A7319">
      <w:pPr>
        <w:pStyle w:val="ListeParagraf"/>
        <w:numPr>
          <w:ilvl w:val="0"/>
          <w:numId w:val="11"/>
        </w:num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Emeklilerde yüzde 246,</w:t>
      </w:r>
    </w:p>
    <w:p w:rsidR="006A7319" w:rsidRPr="006A7319" w:rsidRDefault="006A7319" w:rsidP="006A7319">
      <w:pPr>
        <w:pStyle w:val="ListeParagraf"/>
        <w:numPr>
          <w:ilvl w:val="0"/>
          <w:numId w:val="11"/>
        </w:numPr>
        <w:spacing w:after="0" w:line="240" w:lineRule="auto"/>
        <w:jc w:val="both"/>
        <w:rPr>
          <w:rStyle w:val="apple-style-span"/>
          <w:color w:val="000000" w:themeColor="text1"/>
          <w:sz w:val="24"/>
          <w:szCs w:val="24"/>
          <w:shd w:val="clear" w:color="auto" w:fill="FFFFFF"/>
        </w:rPr>
      </w:pPr>
      <w:r w:rsidRPr="006A7319">
        <w:rPr>
          <w:rStyle w:val="apple-style-span"/>
          <w:color w:val="000000" w:themeColor="text1"/>
          <w:sz w:val="24"/>
          <w:szCs w:val="24"/>
          <w:shd w:val="clear" w:color="auto" w:fill="FFFFFF"/>
        </w:rPr>
        <w:t>Nüfusun en yoksul yüzde 20’lik kesimi için yüzde 252 oldu. En zengin yüzde 20’lik dilim için ise enflasyon yüzde 234 olarak gerçekleşti. Buna göre enflasyon yoksulu daha fazla vurdu.</w:t>
      </w:r>
    </w:p>
    <w:p w:rsidR="006A7319" w:rsidRPr="006A7319" w:rsidRDefault="006A7319" w:rsidP="006A7319">
      <w:pPr>
        <w:spacing w:after="0" w:line="240" w:lineRule="auto"/>
        <w:jc w:val="both"/>
        <w:rPr>
          <w:color w:val="000000" w:themeColor="text1"/>
          <w:sz w:val="24"/>
          <w:szCs w:val="24"/>
        </w:rPr>
      </w:pPr>
      <w:r w:rsidRPr="006A7319">
        <w:rPr>
          <w:rStyle w:val="apple-style-span"/>
          <w:color w:val="000000" w:themeColor="text1"/>
          <w:sz w:val="24"/>
          <w:szCs w:val="24"/>
          <w:shd w:val="clear" w:color="auto" w:fill="FFFFFF"/>
        </w:rPr>
        <w:t>BİSAM tarafından Şubat 2003-Şubat 2017 dönemlerine göre gizli yoksullaşma oranları da hesaplandı. Gizli yoksullaşma genel enflasyon rakamları ile farklı grupların enflasyonlarının arasındaki farktan kaynaklanan ve kayıtlara yansımayan yoksullaşma düzeyini ortaya koyuyor.</w:t>
      </w:r>
    </w:p>
    <w:p w:rsidR="006A7319" w:rsidRPr="006A7319" w:rsidRDefault="006A7319" w:rsidP="006A7319">
      <w:pPr>
        <w:spacing w:after="0" w:line="240" w:lineRule="auto"/>
        <w:jc w:val="both"/>
        <w:rPr>
          <w:color w:val="000000" w:themeColor="text1"/>
          <w:sz w:val="24"/>
          <w:szCs w:val="24"/>
        </w:rPr>
      </w:pPr>
      <w:proofErr w:type="gramStart"/>
      <w:r w:rsidRPr="006A7319">
        <w:rPr>
          <w:color w:val="000000" w:themeColor="text1"/>
          <w:sz w:val="24"/>
          <w:szCs w:val="24"/>
        </w:rPr>
        <w:t>Buna göre son 13 yıllık dönemde (</w:t>
      </w:r>
      <w:r w:rsidRPr="006A7319">
        <w:rPr>
          <w:rStyle w:val="apple-style-span"/>
          <w:color w:val="000000" w:themeColor="text1"/>
          <w:sz w:val="24"/>
          <w:szCs w:val="24"/>
          <w:shd w:val="clear" w:color="auto" w:fill="FFFFFF"/>
        </w:rPr>
        <w:t>Şubat 2003-Şubat 2017</w:t>
      </w:r>
      <w:r w:rsidRPr="006A7319">
        <w:rPr>
          <w:color w:val="000000" w:themeColor="text1"/>
          <w:sz w:val="24"/>
          <w:szCs w:val="24"/>
        </w:rPr>
        <w:t xml:space="preserve">) gizli yoksullaşmayı en yoğun olarak yaşayanlar, işteki duruma göre yüzde 12,2 ile “Yevmiyeliler”, mesleğe göre yüzde 11 ile “Hizmet ve satış elamanları”, temel gelir kaynağına göre yüzde 11 ile “Diğer Transferlerle Geçinenler”, gelir </w:t>
      </w:r>
      <w:r w:rsidRPr="006A7319">
        <w:rPr>
          <w:color w:val="000000" w:themeColor="text1"/>
          <w:sz w:val="24"/>
          <w:szCs w:val="24"/>
        </w:rPr>
        <w:lastRenderedPageBreak/>
        <w:t xml:space="preserve">gruplarına göre yüzde 10,85 ile En Yoksul Yüzde 20’lik gelir grubunda yer alanlar oldu (Tablo 1).   </w:t>
      </w:r>
      <w:proofErr w:type="gramEnd"/>
      <w:r w:rsidRPr="006A7319">
        <w:rPr>
          <w:color w:val="000000" w:themeColor="text1"/>
          <w:sz w:val="24"/>
          <w:szCs w:val="24"/>
        </w:rPr>
        <w:t xml:space="preserve">Enflasyon nedeniyle her kesim için gizli bir yoksullaşma yaşanırken, en yoksul yüzde 20 için bu kayıp yüzde 10,85 oldu. Buna karşın en zengin yüzde 2o için yoksullaşma yüzde 5,9 oldu. Enflasyon hesaplaması yoksulu daha fazla etkiledi. Yoksul enflasyondan zengine göre yaklaşık iki kat daha fazla etkilendi. </w:t>
      </w:r>
    </w:p>
    <w:p w:rsidR="006A7319" w:rsidRPr="006A7319" w:rsidRDefault="006A7319" w:rsidP="006A7319">
      <w:pPr>
        <w:spacing w:before="120" w:after="0" w:line="240" w:lineRule="auto"/>
        <w:jc w:val="both"/>
        <w:rPr>
          <w:b/>
          <w:color w:val="000000" w:themeColor="text1"/>
          <w:sz w:val="24"/>
          <w:szCs w:val="24"/>
        </w:rPr>
      </w:pPr>
      <w:r w:rsidRPr="006A7319">
        <w:rPr>
          <w:b/>
          <w:color w:val="000000" w:themeColor="text1"/>
          <w:sz w:val="24"/>
          <w:szCs w:val="24"/>
        </w:rPr>
        <w:t>Grafik 1- Enflasyon hesaplaması nedeniyle yaşanan gizli yoksullaşma oranı</w:t>
      </w:r>
    </w:p>
    <w:p w:rsidR="006A7319" w:rsidRPr="006A7319" w:rsidRDefault="006A7319" w:rsidP="006A7319">
      <w:pPr>
        <w:spacing w:after="0" w:line="240" w:lineRule="auto"/>
        <w:jc w:val="both"/>
        <w:rPr>
          <w:color w:val="000000" w:themeColor="text1"/>
          <w:sz w:val="24"/>
          <w:szCs w:val="24"/>
        </w:rPr>
      </w:pPr>
      <w:r w:rsidRPr="006A7319">
        <w:rPr>
          <w:noProof/>
          <w:color w:val="000000" w:themeColor="text1"/>
          <w:sz w:val="24"/>
          <w:szCs w:val="24"/>
          <w:lang w:eastAsia="tr-TR" w:bidi="ar-SA"/>
        </w:rPr>
        <w:drawing>
          <wp:inline distT="0" distB="0" distL="0" distR="0">
            <wp:extent cx="5760720" cy="31889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88970"/>
                    </a:xfrm>
                    <a:prstGeom prst="rect">
                      <a:avLst/>
                    </a:prstGeom>
                    <a:noFill/>
                    <a:ln>
                      <a:noFill/>
                    </a:ln>
                  </pic:spPr>
                </pic:pic>
              </a:graphicData>
            </a:graphic>
          </wp:inline>
        </w:drawing>
      </w:r>
    </w:p>
    <w:p w:rsidR="006A7319" w:rsidRPr="006A7319" w:rsidRDefault="006A7319" w:rsidP="006A7319">
      <w:pPr>
        <w:spacing w:after="0" w:line="240" w:lineRule="auto"/>
        <w:jc w:val="both"/>
        <w:rPr>
          <w:rStyle w:val="apple-style-span"/>
          <w:color w:val="000000" w:themeColor="text1"/>
          <w:sz w:val="24"/>
          <w:szCs w:val="24"/>
        </w:rPr>
      </w:pPr>
      <w:r w:rsidRPr="006A7319">
        <w:rPr>
          <w:color w:val="000000" w:themeColor="text1"/>
          <w:sz w:val="24"/>
          <w:szCs w:val="24"/>
        </w:rPr>
        <w:t xml:space="preserve">  </w:t>
      </w:r>
    </w:p>
    <w:p w:rsidR="006A7319" w:rsidRPr="006A7319" w:rsidRDefault="006A7319" w:rsidP="006A7319">
      <w:pPr>
        <w:spacing w:after="0" w:line="240" w:lineRule="auto"/>
        <w:jc w:val="both"/>
        <w:rPr>
          <w:rStyle w:val="apple-style-span"/>
          <w:color w:val="000000" w:themeColor="text1"/>
          <w:sz w:val="24"/>
          <w:szCs w:val="24"/>
          <w:shd w:val="clear" w:color="auto" w:fill="FFFFFF"/>
        </w:rPr>
      </w:pPr>
    </w:p>
    <w:p w:rsidR="006A7319" w:rsidRPr="006A7319" w:rsidRDefault="006A7319" w:rsidP="006A7319">
      <w:pPr>
        <w:spacing w:after="0" w:line="240" w:lineRule="auto"/>
        <w:jc w:val="both"/>
        <w:rPr>
          <w:rStyle w:val="apple-style-span"/>
          <w:color w:val="000000" w:themeColor="text1"/>
          <w:sz w:val="24"/>
          <w:szCs w:val="24"/>
          <w:shd w:val="clear" w:color="auto" w:fill="FFFFFF"/>
        </w:rPr>
      </w:pPr>
    </w:p>
    <w:p w:rsidR="006A7319" w:rsidRPr="006A7319" w:rsidRDefault="006A7319" w:rsidP="006A7319">
      <w:pPr>
        <w:spacing w:after="0" w:line="240" w:lineRule="auto"/>
        <w:jc w:val="both"/>
        <w:rPr>
          <w:rStyle w:val="apple-style-span"/>
          <w:b/>
          <w:color w:val="000000" w:themeColor="text1"/>
          <w:sz w:val="24"/>
          <w:szCs w:val="24"/>
          <w:shd w:val="clear" w:color="auto" w:fill="FFFFFF"/>
        </w:rPr>
      </w:pPr>
      <w:r w:rsidRPr="006A7319">
        <w:rPr>
          <w:rStyle w:val="apple-style-span"/>
          <w:b/>
          <w:color w:val="000000" w:themeColor="text1"/>
          <w:sz w:val="24"/>
          <w:szCs w:val="24"/>
          <w:shd w:val="clear" w:color="auto" w:fill="FFFFFF"/>
        </w:rPr>
        <w:t>SONUÇ</w:t>
      </w:r>
    </w:p>
    <w:p w:rsidR="006A7319" w:rsidRPr="006A7319" w:rsidRDefault="006A7319" w:rsidP="006A7319">
      <w:pPr>
        <w:spacing w:after="0" w:line="240" w:lineRule="auto"/>
        <w:jc w:val="both"/>
        <w:rPr>
          <w:rFonts w:cstheme="minorBidi"/>
          <w:color w:val="000000" w:themeColor="text1"/>
          <w:sz w:val="24"/>
          <w:szCs w:val="24"/>
        </w:rPr>
      </w:pPr>
      <w:r w:rsidRPr="006A7319">
        <w:rPr>
          <w:rStyle w:val="apple-style-span"/>
          <w:color w:val="000000" w:themeColor="text1"/>
          <w:sz w:val="24"/>
          <w:szCs w:val="24"/>
          <w:shd w:val="clear" w:color="auto" w:fill="FFFFFF"/>
        </w:rPr>
        <w:t>Enflasyondaki hareketler doğrudan doğruya alım gücüne etki eden bir role sahip. K</w:t>
      </w:r>
      <w:r w:rsidRPr="006A7319">
        <w:rPr>
          <w:color w:val="000000" w:themeColor="text1"/>
          <w:sz w:val="24"/>
          <w:szCs w:val="24"/>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oluyor. Dar gelirli için ağırlığı son derece önemli olan kira ve gıdanın, sepetteki ağırlığının sistematik olarak azalması, sorunları büyütüyor. Bu nedenle;</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Ücret artışlarında dar gelirlileri dikkate alınacak ayrı bir endeks oluşturulmalıdır</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 xml:space="preserve">Toplum tarafından yaygın olarak kullanılmadığı halde, yüksek değer taşıdığı için ciddi bir biçimde enflasyonu etkileyen ürünlerin mal sepetindeki ağırlığı gözden geçirilmeli, teknolojik gelişmeye koşut olarak fiyatları sürekli olarak gerileyen ürünler, sepetten çıkartılmalıdır. </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 xml:space="preserve">Her türlü sübjektif müdahaleye açık olan yıllık sepet değişiminden vaz geçilmeli. </w:t>
      </w:r>
      <w:proofErr w:type="spellStart"/>
      <w:r w:rsidRPr="006A7319">
        <w:rPr>
          <w:rFonts w:ascii="Cambria" w:hAnsi="Cambria"/>
          <w:color w:val="000000" w:themeColor="text1"/>
          <w:shd w:val="clear" w:color="auto" w:fill="FFFFFF"/>
        </w:rPr>
        <w:t>Sapetteki</w:t>
      </w:r>
      <w:proofErr w:type="spellEnd"/>
      <w:r w:rsidRPr="006A7319">
        <w:rPr>
          <w:rFonts w:ascii="Cambria" w:hAnsi="Cambria"/>
          <w:color w:val="000000" w:themeColor="text1"/>
          <w:shd w:val="clear" w:color="auto" w:fill="FFFFFF"/>
        </w:rPr>
        <w:t xml:space="preserve"> değişiklikler 5’er yıllık dönemler halinde gerçekleştirilmelidir. </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İstatistik konseyinin kapsamı genişletilerek emek örgütlerinin katılımı ve denetimi sağlanmalıdır.</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 xml:space="preserve">Hükümet mensuplarının </w:t>
      </w:r>
      <w:proofErr w:type="spellStart"/>
      <w:r w:rsidRPr="006A7319">
        <w:rPr>
          <w:rFonts w:ascii="Cambria" w:hAnsi="Cambria"/>
          <w:color w:val="000000" w:themeColor="text1"/>
          <w:shd w:val="clear" w:color="auto" w:fill="FFFFFF"/>
        </w:rPr>
        <w:t>TÜİK’e</w:t>
      </w:r>
      <w:proofErr w:type="spellEnd"/>
      <w:r w:rsidRPr="006A7319">
        <w:rPr>
          <w:rFonts w:ascii="Cambria" w:hAnsi="Cambria"/>
          <w:color w:val="000000" w:themeColor="text1"/>
          <w:shd w:val="clear" w:color="auto" w:fill="FFFFFF"/>
        </w:rPr>
        <w:t xml:space="preserve"> müdahalesi anlamına gelecek yaklaşımlardan ve söylemlerden uzak durmaları sağlanmalıdır.</w:t>
      </w:r>
    </w:p>
    <w:p w:rsidR="006A7319" w:rsidRPr="006A7319" w:rsidRDefault="006A7319" w:rsidP="006A7319">
      <w:pPr>
        <w:pStyle w:val="NormalWeb"/>
        <w:numPr>
          <w:ilvl w:val="0"/>
          <w:numId w:val="12"/>
        </w:numPr>
        <w:spacing w:before="0" w:beforeAutospacing="0" w:after="0" w:afterAutospacing="0" w:line="360" w:lineRule="auto"/>
        <w:ind w:left="714" w:hanging="357"/>
        <w:jc w:val="both"/>
        <w:rPr>
          <w:rFonts w:ascii="Cambria" w:hAnsi="Cambria"/>
          <w:color w:val="000000" w:themeColor="text1"/>
          <w:shd w:val="clear" w:color="auto" w:fill="FFFFFF"/>
        </w:rPr>
      </w:pPr>
      <w:r w:rsidRPr="006A7319">
        <w:rPr>
          <w:rFonts w:ascii="Cambria" w:hAnsi="Cambria"/>
          <w:color w:val="000000" w:themeColor="text1"/>
          <w:shd w:val="clear" w:color="auto" w:fill="FFFFFF"/>
        </w:rPr>
        <w:t>Enflasyon hesaplamasında yukarıda belirtilen unsurlardan kaynaklı yaşanan gelir kayıpları giderilmelidir.</w:t>
      </w:r>
    </w:p>
    <w:p w:rsidR="006A7319" w:rsidRDefault="006A7319" w:rsidP="006A7319">
      <w:pPr>
        <w:spacing w:before="240" w:after="0" w:line="240" w:lineRule="auto"/>
        <w:jc w:val="both"/>
        <w:rPr>
          <w:rStyle w:val="apple-style-span"/>
          <w:b/>
          <w:color w:val="000000" w:themeColor="text1"/>
          <w:sz w:val="24"/>
          <w:szCs w:val="24"/>
          <w:shd w:val="clear" w:color="auto" w:fill="FFFFFF"/>
        </w:rPr>
      </w:pPr>
    </w:p>
    <w:p w:rsidR="006A7319" w:rsidRDefault="006A7319" w:rsidP="006A7319">
      <w:pPr>
        <w:spacing w:before="240" w:after="0" w:line="240" w:lineRule="auto"/>
        <w:jc w:val="both"/>
        <w:rPr>
          <w:rStyle w:val="apple-style-span"/>
          <w:b/>
          <w:color w:val="000000" w:themeColor="text1"/>
          <w:sz w:val="24"/>
          <w:szCs w:val="24"/>
          <w:shd w:val="clear" w:color="auto" w:fill="FFFFFF"/>
        </w:rPr>
      </w:pPr>
    </w:p>
    <w:p w:rsidR="006A7319" w:rsidRPr="006A7319" w:rsidRDefault="006A7319" w:rsidP="006A7319">
      <w:pPr>
        <w:spacing w:before="240" w:after="0" w:line="240" w:lineRule="auto"/>
        <w:jc w:val="both"/>
        <w:rPr>
          <w:rStyle w:val="apple-style-span"/>
          <w:b/>
          <w:color w:val="000000" w:themeColor="text1"/>
          <w:sz w:val="24"/>
          <w:szCs w:val="24"/>
          <w:shd w:val="clear" w:color="auto" w:fill="FFFFFF"/>
        </w:rPr>
      </w:pPr>
      <w:r w:rsidRPr="006A7319">
        <w:rPr>
          <w:rStyle w:val="apple-style-span"/>
          <w:b/>
          <w:color w:val="000000" w:themeColor="text1"/>
          <w:sz w:val="24"/>
          <w:szCs w:val="24"/>
          <w:shd w:val="clear" w:color="auto" w:fill="FFFFFF"/>
        </w:rPr>
        <w:t>TABLO 1- GİZLİ YOKSULLAŞMA ORANLARI (ŞUBAT 2013-ŞUBAT 2017)</w:t>
      </w:r>
    </w:p>
    <w:tbl>
      <w:tblPr>
        <w:tblW w:w="9348" w:type="dxa"/>
        <w:tblCellMar>
          <w:left w:w="70" w:type="dxa"/>
          <w:right w:w="70" w:type="dxa"/>
        </w:tblCellMar>
        <w:tblLook w:val="04A0" w:firstRow="1" w:lastRow="0" w:firstColumn="1" w:lastColumn="0" w:noHBand="0" w:noVBand="1"/>
      </w:tblPr>
      <w:tblGrid>
        <w:gridCol w:w="6513"/>
        <w:gridCol w:w="2835"/>
      </w:tblGrid>
      <w:tr w:rsidR="006A7319" w:rsidRPr="006A7319" w:rsidTr="006A7319">
        <w:trPr>
          <w:trHeight w:val="455"/>
        </w:trPr>
        <w:tc>
          <w:tcPr>
            <w:tcW w:w="6513" w:type="dxa"/>
            <w:tcBorders>
              <w:top w:val="single" w:sz="4" w:space="0" w:color="auto"/>
              <w:left w:val="single" w:sz="4" w:space="0" w:color="auto"/>
              <w:bottom w:val="single" w:sz="4" w:space="0" w:color="auto"/>
              <w:right w:val="single" w:sz="4" w:space="0" w:color="auto"/>
            </w:tcBorders>
            <w:shd w:val="clear" w:color="auto" w:fill="4F81BD"/>
            <w:noWrap/>
            <w:vAlign w:val="bottom"/>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İŞTEKİ DURUMA GÖRE</w:t>
            </w:r>
          </w:p>
        </w:tc>
        <w:tc>
          <w:tcPr>
            <w:tcW w:w="2835"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Gizli Yoksullaşma Oranı</w:t>
            </w:r>
          </w:p>
        </w:tc>
      </w:tr>
      <w:tr w:rsidR="006A7319" w:rsidRPr="006A7319" w:rsidTr="006A7319">
        <w:trPr>
          <w:trHeight w:val="32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(Düzenli Ücretli Çalışanlar)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7,54%</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(İşverenler)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6,07%</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(Kendi Hesabına Çalışanlar)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7,39%</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(Ücretsiz Aile Çalışanları)</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5,87%</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(Yevmiyeli (Gündelik) Çalışanlar)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12,20%</w:t>
            </w:r>
          </w:p>
        </w:tc>
      </w:tr>
      <w:tr w:rsidR="006A7319" w:rsidRPr="006A7319" w:rsidTr="006A7319">
        <w:trPr>
          <w:trHeight w:val="306"/>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(Çalışmayanlar)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9,70%</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MESLEĞE GÖRE</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(Büro Hizmetlerinde Çalışan Elemanlar)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8,06%</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(Çalışmayanlar)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9,70%</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(Hizmet Ve Satış Elemanları)</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8,30%</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(Nitelik Gerektirmeyen İşlerde Çalışanlar)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11,03%</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(Nitelikli Tarım, Ormancılık Ve Su Ürünleri Çalışanları)</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7,35%</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(Profesyonel Meslek Mensupları)</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4,22%</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w:t>
            </w:r>
            <w:proofErr w:type="gramStart"/>
            <w:r w:rsidRPr="006A7319">
              <w:rPr>
                <w:rFonts w:eastAsia="Times New Roman" w:cs="Arial"/>
                <w:color w:val="000000" w:themeColor="text1"/>
                <w:sz w:val="24"/>
                <w:szCs w:val="24"/>
                <w:lang w:eastAsia="tr-TR"/>
              </w:rPr>
              <w:t>Sanatkarlar</w:t>
            </w:r>
            <w:proofErr w:type="gramEnd"/>
            <w:r w:rsidRPr="006A7319">
              <w:rPr>
                <w:rFonts w:eastAsia="Times New Roman" w:cs="Arial"/>
                <w:color w:val="000000" w:themeColor="text1"/>
                <w:sz w:val="24"/>
                <w:szCs w:val="24"/>
                <w:lang w:eastAsia="tr-TR"/>
              </w:rPr>
              <w:t xml:space="preserve"> Ve İlgili İşlerde Çalışanlar)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8,92%</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(Teknisyenler, Teknikerler Ve Yardımcı Profesyonel Meslek Mensupları)</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6,48%</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(Tesis Ve Makine Operatörleri Ve Montajcılar)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10,43%</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(Yöneticiler)</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6,21%</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TEMEL GELİR KAYNAĞINA GÖRE</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Ücret, yevmiye</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7,86%</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proofErr w:type="spellStart"/>
            <w:r w:rsidRPr="006A7319">
              <w:rPr>
                <w:rFonts w:eastAsia="Times New Roman" w:cs="Arial"/>
                <w:color w:val="000000" w:themeColor="text1"/>
                <w:sz w:val="24"/>
                <w:szCs w:val="24"/>
                <w:lang w:eastAsia="tr-TR"/>
              </w:rPr>
              <w:t>Mütesebbis</w:t>
            </w:r>
            <w:proofErr w:type="spellEnd"/>
            <w:r w:rsidRPr="006A7319">
              <w:rPr>
                <w:rFonts w:eastAsia="Times New Roman" w:cs="Arial"/>
                <w:color w:val="000000" w:themeColor="text1"/>
                <w:sz w:val="24"/>
                <w:szCs w:val="24"/>
                <w:lang w:eastAsia="tr-TR"/>
              </w:rPr>
              <w:t xml:space="preserve"> Geliri</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7,23%</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Emekli aylığı</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9,29%</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Diğer Transferler</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11,02%</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Gayrimenkul Kira Geliri Ve Menkul Kıymet Faiz Geliri</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9,60%</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GELİR GRUPLARINA GÖRE</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 Yüzde 20 En Yoksul</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10,85%</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 Yüzde 20</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9,72%</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3. Yüzde 20</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9,64%</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4. Yüzde 20</w:t>
            </w:r>
          </w:p>
        </w:tc>
        <w:tc>
          <w:tcPr>
            <w:tcW w:w="28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9,64%</w:t>
            </w:r>
          </w:p>
        </w:tc>
      </w:tr>
      <w:tr w:rsidR="006A7319" w:rsidRPr="006A7319" w:rsidTr="006A7319">
        <w:trPr>
          <w:trHeight w:val="260"/>
        </w:trPr>
        <w:tc>
          <w:tcPr>
            <w:tcW w:w="651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5. Yüzde 20 En Zengin</w:t>
            </w:r>
          </w:p>
        </w:tc>
        <w:tc>
          <w:tcPr>
            <w:tcW w:w="283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6A7319" w:rsidRPr="006A7319" w:rsidRDefault="006A7319" w:rsidP="006A7319">
            <w:pPr>
              <w:spacing w:after="0" w:line="240" w:lineRule="auto"/>
              <w:jc w:val="right"/>
              <w:rPr>
                <w:rFonts w:eastAsia="Times New Roman" w:cs="Arial"/>
                <w:color w:val="000000" w:themeColor="text1"/>
                <w:sz w:val="24"/>
                <w:szCs w:val="24"/>
                <w:lang w:eastAsia="tr-TR"/>
              </w:rPr>
            </w:pPr>
            <w:r w:rsidRPr="006A7319">
              <w:rPr>
                <w:rFonts w:eastAsia="Times New Roman" w:cs="Arial"/>
                <w:color w:val="000000" w:themeColor="text1"/>
                <w:sz w:val="24"/>
                <w:szCs w:val="24"/>
              </w:rPr>
              <w:t>5,90%</w:t>
            </w:r>
          </w:p>
        </w:tc>
      </w:tr>
    </w:tbl>
    <w:p w:rsidR="006A7319" w:rsidRPr="006A7319" w:rsidRDefault="006A7319" w:rsidP="006A7319">
      <w:pPr>
        <w:spacing w:after="0" w:line="240" w:lineRule="auto"/>
        <w:jc w:val="both"/>
        <w:rPr>
          <w:rStyle w:val="apple-style-span"/>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Default="006A7319" w:rsidP="006A7319">
      <w:pPr>
        <w:spacing w:after="0" w:line="240" w:lineRule="auto"/>
        <w:jc w:val="both"/>
        <w:rPr>
          <w:rStyle w:val="apple-style-span"/>
          <w:b/>
          <w:color w:val="000000" w:themeColor="text1"/>
          <w:sz w:val="24"/>
          <w:szCs w:val="24"/>
          <w:shd w:val="clear" w:color="auto" w:fill="FFFFFF"/>
        </w:rPr>
      </w:pPr>
    </w:p>
    <w:p w:rsidR="006A7319" w:rsidRPr="006A7319" w:rsidRDefault="006A7319" w:rsidP="006A7319">
      <w:pPr>
        <w:spacing w:after="0" w:line="240" w:lineRule="auto"/>
        <w:jc w:val="both"/>
        <w:rPr>
          <w:rStyle w:val="apple-style-span"/>
          <w:b/>
          <w:color w:val="000000" w:themeColor="text1"/>
          <w:sz w:val="24"/>
          <w:szCs w:val="24"/>
          <w:shd w:val="clear" w:color="auto" w:fill="FFFFFF"/>
        </w:rPr>
      </w:pPr>
      <w:bookmarkStart w:id="0" w:name="_GoBack"/>
      <w:bookmarkEnd w:id="0"/>
      <w:r w:rsidRPr="006A7319">
        <w:rPr>
          <w:rStyle w:val="apple-style-span"/>
          <w:b/>
          <w:color w:val="000000" w:themeColor="text1"/>
          <w:sz w:val="24"/>
          <w:szCs w:val="24"/>
          <w:shd w:val="clear" w:color="auto" w:fill="FFFFFF"/>
        </w:rPr>
        <w:lastRenderedPageBreak/>
        <w:t>TABLO 2- GELİR GRUPLARINA GÖRE ENFLASYON ARTIŞ ORANLARI</w:t>
      </w:r>
    </w:p>
    <w:tbl>
      <w:tblPr>
        <w:tblW w:w="9057" w:type="dxa"/>
        <w:tblInd w:w="-5" w:type="dxa"/>
        <w:tblCellMar>
          <w:left w:w="70" w:type="dxa"/>
          <w:right w:w="70" w:type="dxa"/>
        </w:tblCellMar>
        <w:tblLook w:val="04A0" w:firstRow="1" w:lastRow="0" w:firstColumn="1" w:lastColumn="0" w:noHBand="0" w:noVBand="1"/>
      </w:tblPr>
      <w:tblGrid>
        <w:gridCol w:w="4974"/>
        <w:gridCol w:w="1068"/>
        <w:gridCol w:w="1068"/>
        <w:gridCol w:w="1021"/>
        <w:gridCol w:w="1021"/>
      </w:tblGrid>
      <w:tr w:rsidR="006A7319" w:rsidRPr="006A7319" w:rsidTr="006A7319">
        <w:trPr>
          <w:trHeight w:val="280"/>
        </w:trPr>
        <w:tc>
          <w:tcPr>
            <w:tcW w:w="4974" w:type="dxa"/>
            <w:tcBorders>
              <w:top w:val="single" w:sz="8" w:space="0" w:color="auto"/>
              <w:left w:val="single" w:sz="8" w:space="0" w:color="auto"/>
              <w:bottom w:val="single" w:sz="8" w:space="0" w:color="auto"/>
              <w:right w:val="single" w:sz="8" w:space="0" w:color="auto"/>
            </w:tcBorders>
            <w:shd w:val="clear" w:color="auto" w:fill="4F81BD"/>
            <w:noWrap/>
            <w:vAlign w:val="center"/>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GELİR GRUPLARI</w:t>
            </w:r>
          </w:p>
        </w:tc>
        <w:tc>
          <w:tcPr>
            <w:tcW w:w="1020" w:type="dxa"/>
            <w:tcBorders>
              <w:top w:val="single" w:sz="8" w:space="0" w:color="auto"/>
              <w:left w:val="nil"/>
              <w:bottom w:val="single" w:sz="8" w:space="0" w:color="auto"/>
              <w:right w:val="single" w:sz="8" w:space="0" w:color="auto"/>
            </w:tcBorders>
            <w:shd w:val="clear" w:color="auto" w:fill="4F81BD"/>
            <w:noWrap/>
            <w:vAlign w:val="center"/>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14 yıl</w:t>
            </w:r>
          </w:p>
        </w:tc>
        <w:tc>
          <w:tcPr>
            <w:tcW w:w="1021" w:type="dxa"/>
            <w:tcBorders>
              <w:top w:val="single" w:sz="8" w:space="0" w:color="auto"/>
              <w:left w:val="nil"/>
              <w:bottom w:val="single" w:sz="8" w:space="0" w:color="auto"/>
              <w:right w:val="single" w:sz="8" w:space="0" w:color="auto"/>
            </w:tcBorders>
            <w:shd w:val="clear" w:color="auto" w:fill="4F81BD"/>
            <w:noWrap/>
            <w:vAlign w:val="center"/>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10 YIL</w:t>
            </w:r>
          </w:p>
        </w:tc>
        <w:tc>
          <w:tcPr>
            <w:tcW w:w="1021" w:type="dxa"/>
            <w:tcBorders>
              <w:top w:val="single" w:sz="8" w:space="0" w:color="auto"/>
              <w:left w:val="nil"/>
              <w:bottom w:val="single" w:sz="8" w:space="0" w:color="auto"/>
              <w:right w:val="single" w:sz="8" w:space="0" w:color="auto"/>
            </w:tcBorders>
            <w:shd w:val="clear" w:color="auto" w:fill="4F81BD"/>
            <w:noWrap/>
            <w:vAlign w:val="center"/>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1 YIL</w:t>
            </w:r>
          </w:p>
        </w:tc>
        <w:tc>
          <w:tcPr>
            <w:tcW w:w="1021" w:type="dxa"/>
            <w:tcBorders>
              <w:top w:val="single" w:sz="8" w:space="0" w:color="auto"/>
              <w:left w:val="nil"/>
              <w:bottom w:val="single" w:sz="8" w:space="0" w:color="auto"/>
              <w:right w:val="single" w:sz="8" w:space="0" w:color="auto"/>
            </w:tcBorders>
            <w:shd w:val="clear" w:color="auto" w:fill="4F81BD"/>
            <w:noWrap/>
            <w:vAlign w:val="center"/>
            <w:hideMark/>
          </w:tcPr>
          <w:p w:rsidR="006A7319" w:rsidRPr="006A7319" w:rsidRDefault="006A7319" w:rsidP="006A7319">
            <w:pPr>
              <w:spacing w:after="0" w:line="240" w:lineRule="auto"/>
              <w:rPr>
                <w:rFonts w:eastAsia="Times New Roman" w:cs="Arial"/>
                <w:b/>
                <w:bCs/>
                <w:color w:val="000000" w:themeColor="text1"/>
                <w:sz w:val="24"/>
                <w:szCs w:val="24"/>
                <w:lang w:eastAsia="tr-TR"/>
              </w:rPr>
            </w:pPr>
            <w:r w:rsidRPr="006A7319">
              <w:rPr>
                <w:rFonts w:eastAsia="Times New Roman" w:cs="Arial"/>
                <w:b/>
                <w:bCs/>
                <w:color w:val="000000" w:themeColor="text1"/>
                <w:sz w:val="24"/>
                <w:szCs w:val="24"/>
                <w:lang w:eastAsia="tr-TR"/>
              </w:rPr>
              <w:t>1 AY</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GENEL ENFLASYON</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214,00%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121,50%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10,13%</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0,81%</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İŞTEKİ DURUMA GÖRE</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(Düzenli Ücretli Çalışanlar)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239,61%</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120,84%</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10,43%</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0,99%</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(İşverenler)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234,30%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117,68%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10,59%</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0,96%</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(Kendi Hesabına Çalışanlar)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239,05%</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124,10%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10,70%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0,99%</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(Ücretsiz Aile Çalışanları)</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233,58%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120,88%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10,76%</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1,10%</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(Yevmiyeli (Gündelik) Çalışanlar)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257,62%</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129,01%</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10,37%</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0,86%</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(Çalışmayanlar)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247,73%</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123,80%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10,07%</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0,88%</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MESLEĞE GÖRE</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(Büro Hizmetlerinde Çalışan Elemanlar)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241,53%</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119,98%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10,19%</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0,91%</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(Çalışmayanlar)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247,73%</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123,80%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10,07%</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0,88%</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(Hizmet Ve Satış Elemanları)</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242,44%</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122,92%</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10,50%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(Nitelik Gerektirmeyen İşlerde Çalışanlar)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252,94%</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126,82%</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10,06%</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0,83%</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(Nitelikli Tarım, Ormancılık Ve Su Ürünleri Çalışanları)</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238,89%</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126,52%</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10,54%</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0,93%</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(Profesyonel Meslek Mensupları)</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227,85%</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115,54%</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10,76%</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1,07%</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w:t>
            </w:r>
            <w:proofErr w:type="gramStart"/>
            <w:r w:rsidRPr="006A7319">
              <w:rPr>
                <w:rFonts w:eastAsia="Times New Roman" w:cs="Arial"/>
                <w:color w:val="000000" w:themeColor="text1"/>
                <w:sz w:val="24"/>
                <w:szCs w:val="24"/>
                <w:lang w:eastAsia="tr-TR"/>
              </w:rPr>
              <w:t>Sanatkarlar</w:t>
            </w:r>
            <w:proofErr w:type="gramEnd"/>
            <w:r w:rsidRPr="006A7319">
              <w:rPr>
                <w:rFonts w:eastAsia="Times New Roman" w:cs="Arial"/>
                <w:color w:val="000000" w:themeColor="text1"/>
                <w:sz w:val="24"/>
                <w:szCs w:val="24"/>
                <w:lang w:eastAsia="tr-TR"/>
              </w:rPr>
              <w:t xml:space="preserve"> Ve İlgili İşlerde Çalışanlar)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244,76%</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123,91%</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10,50%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1,01%</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(Teknisyenler, Teknikerler Ve Yardımcı Profesyonel Meslek Mensupları)</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235,77%</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118,29%</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10,40%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0,93%</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(Tesis Ve Makine Operatörleri Ve Montajcılar)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250,56%</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126,34%</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10,40%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0,87%</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xml:space="preserve"> (Yöneticiler)</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234,78%</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118,12%</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10,64%</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1,05%</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TEMEL GELİR KAYNAĞINA GÖRE</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Ücret, yevmiye</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240,78%</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121,55%</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10,43%</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0,98%</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proofErr w:type="spellStart"/>
            <w:r w:rsidRPr="006A7319">
              <w:rPr>
                <w:rFonts w:eastAsia="Times New Roman" w:cs="Arial"/>
                <w:color w:val="000000" w:themeColor="text1"/>
                <w:sz w:val="24"/>
                <w:szCs w:val="24"/>
                <w:lang w:eastAsia="tr-TR"/>
              </w:rPr>
              <w:t>Mütesebbis</w:t>
            </w:r>
            <w:proofErr w:type="spellEnd"/>
            <w:r w:rsidRPr="006A7319">
              <w:rPr>
                <w:rFonts w:eastAsia="Times New Roman" w:cs="Arial"/>
                <w:color w:val="000000" w:themeColor="text1"/>
                <w:sz w:val="24"/>
                <w:szCs w:val="24"/>
                <w:lang w:eastAsia="tr-TR"/>
              </w:rPr>
              <w:t xml:space="preserve"> Geliri</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238,48%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122,90%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10,84%</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1,03%</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Emekli aylığı</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246,15%</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123,94%</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10,06%</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0,86%</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Diğer Transferler</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252,90%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123,71%</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9,59%</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0,77%</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Gayrimenkul Kira Geliri Ve Menkul Kıymet Faiz Geliri</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247,33%</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118,57%</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9,52%</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0,61%</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GELİR GRUPLARINA GÖRE</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 </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 Yüzde 20 En Yoksul</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252,21%</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127,78%</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9,82%</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0,82%</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 Yüzde 20</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247,80%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125,86%</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10,01%</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0,84%</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3. Yüzde 20</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247,50%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125,08%</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10,21%</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0,86%</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4. Yüzde 20</w:t>
            </w:r>
          </w:p>
        </w:tc>
        <w:tc>
          <w:tcPr>
            <w:tcW w:w="1020"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247,50%</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125,08%</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10,21%</w:t>
            </w:r>
          </w:p>
        </w:tc>
        <w:tc>
          <w:tcPr>
            <w:tcW w:w="1021" w:type="dxa"/>
            <w:tcBorders>
              <w:top w:val="nil"/>
              <w:left w:val="nil"/>
              <w:bottom w:val="single" w:sz="8" w:space="0" w:color="auto"/>
              <w:right w:val="single" w:sz="8" w:space="0" w:color="auto"/>
            </w:tcBorders>
            <w:shd w:val="clear" w:color="auto" w:fill="DCE6F1"/>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0,86%</w:t>
            </w:r>
          </w:p>
        </w:tc>
      </w:tr>
      <w:tr w:rsidR="006A7319" w:rsidRPr="006A7319" w:rsidTr="006A7319">
        <w:trPr>
          <w:trHeight w:val="280"/>
        </w:trPr>
        <w:tc>
          <w:tcPr>
            <w:tcW w:w="4974" w:type="dxa"/>
            <w:tcBorders>
              <w:top w:val="nil"/>
              <w:left w:val="single" w:sz="8" w:space="0" w:color="auto"/>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5. Yüzde 20 En Zengin</w:t>
            </w:r>
          </w:p>
        </w:tc>
        <w:tc>
          <w:tcPr>
            <w:tcW w:w="1020"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233,70%</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117,17%</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10,66%</w:t>
            </w:r>
          </w:p>
        </w:tc>
        <w:tc>
          <w:tcPr>
            <w:tcW w:w="1021" w:type="dxa"/>
            <w:tcBorders>
              <w:top w:val="nil"/>
              <w:left w:val="nil"/>
              <w:bottom w:val="single" w:sz="8" w:space="0" w:color="auto"/>
              <w:right w:val="single" w:sz="8" w:space="0" w:color="auto"/>
            </w:tcBorders>
            <w:shd w:val="clear" w:color="auto" w:fill="B8CCE4"/>
            <w:noWrap/>
            <w:vAlign w:val="center"/>
            <w:hideMark/>
          </w:tcPr>
          <w:p w:rsidR="006A7319" w:rsidRPr="006A7319" w:rsidRDefault="006A7319" w:rsidP="006A7319">
            <w:pPr>
              <w:spacing w:after="0" w:line="240" w:lineRule="auto"/>
              <w:rPr>
                <w:rFonts w:eastAsia="Times New Roman" w:cs="Arial"/>
                <w:color w:val="000000" w:themeColor="text1"/>
                <w:sz w:val="24"/>
                <w:szCs w:val="24"/>
                <w:lang w:eastAsia="tr-TR"/>
              </w:rPr>
            </w:pPr>
            <w:r w:rsidRPr="006A7319">
              <w:rPr>
                <w:rFonts w:eastAsia="Times New Roman" w:cs="Arial"/>
                <w:color w:val="000000" w:themeColor="text1"/>
                <w:sz w:val="24"/>
                <w:szCs w:val="24"/>
                <w:lang w:eastAsia="tr-TR"/>
              </w:rPr>
              <w:t>1,04%</w:t>
            </w:r>
          </w:p>
        </w:tc>
      </w:tr>
    </w:tbl>
    <w:p w:rsidR="006A7319" w:rsidRPr="006A7319" w:rsidRDefault="006A7319" w:rsidP="006A7319">
      <w:pPr>
        <w:spacing w:after="240" w:line="360" w:lineRule="auto"/>
        <w:jc w:val="both"/>
        <w:rPr>
          <w:rStyle w:val="apple-style-span"/>
          <w:color w:val="000000" w:themeColor="text1"/>
          <w:sz w:val="24"/>
          <w:szCs w:val="24"/>
          <w:shd w:val="clear" w:color="auto" w:fill="FFFFFF"/>
        </w:rPr>
      </w:pPr>
    </w:p>
    <w:sectPr w:rsidR="006A7319" w:rsidRPr="006A73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 w:numId="1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01C8B"/>
    <w:rsid w:val="00132346"/>
    <w:rsid w:val="001339D5"/>
    <w:rsid w:val="001403A7"/>
    <w:rsid w:val="0015189D"/>
    <w:rsid w:val="0016484A"/>
    <w:rsid w:val="0018037A"/>
    <w:rsid w:val="00196C01"/>
    <w:rsid w:val="001A324E"/>
    <w:rsid w:val="001B4722"/>
    <w:rsid w:val="001D3EDA"/>
    <w:rsid w:val="001D4889"/>
    <w:rsid w:val="001D6903"/>
    <w:rsid w:val="001E44F9"/>
    <w:rsid w:val="001F666D"/>
    <w:rsid w:val="00202CB4"/>
    <w:rsid w:val="002030FC"/>
    <w:rsid w:val="002058E8"/>
    <w:rsid w:val="002136E5"/>
    <w:rsid w:val="002160C2"/>
    <w:rsid w:val="0021623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55E84"/>
    <w:rsid w:val="00665685"/>
    <w:rsid w:val="006756EC"/>
    <w:rsid w:val="00694DDB"/>
    <w:rsid w:val="006A7319"/>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A117B"/>
    <w:rsid w:val="009A3D19"/>
    <w:rsid w:val="009A764B"/>
    <w:rsid w:val="009B7182"/>
    <w:rsid w:val="009C0C85"/>
    <w:rsid w:val="009E034F"/>
    <w:rsid w:val="009E11A1"/>
    <w:rsid w:val="009E1BBA"/>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32C5"/>
    <w:rsid w:val="00DD6BB5"/>
    <w:rsid w:val="00DF2F33"/>
    <w:rsid w:val="00E0090F"/>
    <w:rsid w:val="00E01985"/>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13489360">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C3C5-E0D9-4861-B33A-29F4AD6D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1086</Words>
  <Characters>6193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4</cp:revision>
  <cp:lastPrinted>2017-01-24T06:17:00Z</cp:lastPrinted>
  <dcterms:created xsi:type="dcterms:W3CDTF">2017-03-03T11:11:00Z</dcterms:created>
  <dcterms:modified xsi:type="dcterms:W3CDTF">2017-03-03T11:15:00Z</dcterms:modified>
</cp:coreProperties>
</file>