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DE" w:rsidRPr="00970A06" w:rsidRDefault="00B44F5B" w:rsidP="002503DE">
      <w:pPr>
        <w:jc w:val="center"/>
        <w:rPr>
          <w:noProof/>
          <w:lang w:val="tr-TR" w:eastAsia="tr-TR" w:bidi="ar-SA"/>
        </w:rPr>
      </w:pPr>
      <w:r w:rsidRPr="00970A06">
        <w:rPr>
          <w:noProof/>
          <w:lang w:val="tr-TR" w:eastAsia="tr-TR" w:bidi="ar-SA"/>
        </w:rPr>
        <mc:AlternateContent>
          <mc:Choice Requires="wps">
            <w:drawing>
              <wp:anchor distT="0" distB="0" distL="114300" distR="114300" simplePos="0" relativeHeight="251660288" behindDoc="0" locked="0" layoutInCell="1" allowOverlap="1" wp14:anchorId="16B56C47" wp14:editId="490798D0">
                <wp:simplePos x="0" y="0"/>
                <wp:positionH relativeFrom="column">
                  <wp:posOffset>50165</wp:posOffset>
                </wp:positionH>
                <wp:positionV relativeFrom="page">
                  <wp:posOffset>1894840</wp:posOffset>
                </wp:positionV>
                <wp:extent cx="6306185" cy="171450"/>
                <wp:effectExtent l="0" t="0" r="1841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618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56C47" id="Rectangle 2" o:spid="_x0000_s1026" style="position:absolute;left:0;text-align:left;margin-left:3.95pt;margin-top:149.2pt;width:496.5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4bXqAIAAJ0FAAAOAAAAZHJzL2Uyb0RvYy54bWysVNFumzAUfZ+0f7D8ToGUJIBKqjaEaVK3&#10;Vev2AQ6YYM3YzHZCumn/vmsTkiZ9mbbxgC729fE59x7uze2+5WhHlWZSZDi8CjCiopQVE5sMf/1S&#10;eDFG2hBRES4FzfAz1fh28fbNTd+ldCIbySuqEIAInfZdhhtjutT3ddnQlugr2VEBm7VULTHwqTZ+&#10;pUgP6C33J0Ew83upqk7JkmoNq/mwiRcOv65paT7VtaYG8QwDN+Peyr3X9u0vbki6UaRrWHmgQf6C&#10;RUuYgEuPUDkxBG0VewXVslJJLWtzVcrWl3XNSuo0gJowuFDz1JCOOi1QHN0dy6T/H2z5cfeoEKsy&#10;HGEkSAst+gxFI2LDKZrY8vSdTiHrqXtUVqDuHmT5TSMhlw1k0TulZN9QUgGp0Ob7Zwfsh4ajaN1/&#10;kBWgk62RrlL7WrUWEGqA9q4hz8eG0L1BJSzOroNZGE8xKmEvnIfR1HXMJ+l4ulPavKOyRTbIsALu&#10;Dp3sHrSxbEg6ptjLhCwY567pXJwtQOKwAnfDUbtnWbge/kyCZBWv4siLJrOVFwV57t0Vy8ibFeF8&#10;ml/ny2Ue/rL3hlHasKqiwl4z+imM/qxfB2cPTjg6SkvOKgtnKWm1WS+5QjsCfi7c42oOO6c0/5yG&#10;KwJouZAUTqLgfpJ4xSyee1ERTb1kHsReECb3ySyIkigvziU9MEH/XRLqbZedlhPjC2GBe14LI2nL&#10;DIwLztoMx8ckklr/rUTl+moI40P8og6W+6kO0Ouxy86t1qCD0c1+vQcU69q1rJ7Bt0qCrWBywIyD&#10;oJHqB0Y9zIsM6+9boihG/L0A79vhMgZqDNZjQEQJRzNsMBrCpRmG0LZTbNMAcuhqIuQd/B81c9Y9&#10;sTj8VTADnIjDvLJD5uW3yzpN1cVvAAAA//8DAFBLAwQUAAYACAAAACEASDcHSt8AAAAKAQAADwAA&#10;AGRycy9kb3ducmV2LnhtbEyPMU/DMBSEdyT+g/WQ2KjdUEoT8lKhRpFgK6VLNzc2SUT8nMRuEv49&#10;7gTj6U5336Xb2bRs1INrLCEsFwKYptKqhiqE42fxsAHmvCQlW0sa4Uc72Ga3N6lMlJ3oQ48HX7FQ&#10;Qi6RCLX3XcK5K2ttpFvYTlPwvuxgpA9yqLga5BTKTcsjIdbcyIbCQi07vat1+X24GIR8WKvC7d7y&#10;Ij5NuX/f92PPe8T7u/n1BZjXs/8LwxU/oEMWmM72QsqxFuE5DkGEKN6sgF19IZbh3BnhMXpaAc9S&#10;/v9C9gsAAP//AwBQSwECLQAUAAYACAAAACEAtoM4kv4AAADhAQAAEwAAAAAAAAAAAAAAAAAAAAAA&#10;W0NvbnRlbnRfVHlwZXNdLnhtbFBLAQItABQABgAIAAAAIQA4/SH/1gAAAJQBAAALAAAAAAAAAAAA&#10;AAAAAC8BAABfcmVscy8ucmVsc1BLAQItABQABgAIAAAAIQBPR4bXqAIAAJ0FAAAOAAAAAAAAAAAA&#10;AAAAAC4CAABkcnMvZTJvRG9jLnhtbFBLAQItABQABgAIAAAAIQBINwdK3wAAAAoBAAAPAAAAAAAA&#10;AAAAAAAAAAIFAABkcnMvZG93bnJldi54bWxQSwUGAAAAAAQABADzAAAADgYAAAAA&#10;" filled="f" stroked="f" strokeweight="0">
                <v:textbox inset="0,0,0,0">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v:textbox>
                <w10:wrap anchory="page"/>
              </v:rect>
            </w:pict>
          </mc:Fallback>
        </mc:AlternateContent>
      </w:r>
      <w:r w:rsidR="00C002DD">
        <w:rPr>
          <w:noProof/>
          <w:lang w:val="tr-TR" w:eastAsia="tr-TR" w:bidi="ar-SA"/>
        </w:rPr>
        <w:drawing>
          <wp:inline distT="0" distB="0" distL="0" distR="0">
            <wp:extent cx="6480048" cy="1075944"/>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antetli.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80048" cy="1075944"/>
                    </a:xfrm>
                    <a:prstGeom prst="rect">
                      <a:avLst/>
                    </a:prstGeom>
                  </pic:spPr>
                </pic:pic>
              </a:graphicData>
            </a:graphic>
          </wp:inline>
        </w:drawing>
      </w:r>
    </w:p>
    <w:p w:rsidR="002503DE" w:rsidRPr="00970A06" w:rsidRDefault="002503DE" w:rsidP="002503DE">
      <w:pPr>
        <w:spacing w:after="20" w:line="240" w:lineRule="auto"/>
        <w:jc w:val="center"/>
        <w:rPr>
          <w:lang w:val="tr-TR"/>
        </w:rPr>
      </w:pPr>
    </w:p>
    <w:p w:rsidR="002503DE" w:rsidRPr="00970A06" w:rsidRDefault="002503DE" w:rsidP="002503DE">
      <w:pPr>
        <w:pBdr>
          <w:top w:val="single" w:sz="12" w:space="1" w:color="auto"/>
          <w:left w:val="single" w:sz="12" w:space="1" w:color="auto"/>
          <w:bottom w:val="single" w:sz="12" w:space="1" w:color="auto"/>
          <w:right w:val="single" w:sz="12" w:space="1" w:color="auto"/>
        </w:pBdr>
        <w:spacing w:after="0" w:line="240" w:lineRule="auto"/>
        <w:jc w:val="right"/>
        <w:rPr>
          <w:rFonts w:ascii="Arial Black" w:hAnsi="Arial Black"/>
          <w:b/>
          <w:noProof/>
          <w:sz w:val="24"/>
          <w:lang w:val="tr-TR"/>
        </w:rPr>
      </w:pPr>
      <w:r w:rsidRPr="00970A06">
        <w:rPr>
          <w:rFonts w:ascii="Arial Black" w:hAnsi="Arial Black"/>
          <w:b/>
          <w:noProof/>
          <w:sz w:val="24"/>
          <w:lang w:val="tr-TR"/>
        </w:rPr>
        <w:t>BASIN BÜLTENİ</w:t>
      </w:r>
    </w:p>
    <w:p w:rsidR="00496E65" w:rsidRPr="00393557" w:rsidRDefault="00EB33D4" w:rsidP="00510ACE">
      <w:pPr>
        <w:spacing w:beforeLines="20" w:before="48" w:afterLines="20" w:after="48" w:line="240" w:lineRule="auto"/>
        <w:jc w:val="right"/>
      </w:pPr>
      <w:r w:rsidRPr="00970A06">
        <w:rPr>
          <w:rFonts w:ascii="Times New Roman" w:hAnsi="Times New Roman"/>
          <w:b/>
          <w:sz w:val="18"/>
          <w:szCs w:val="18"/>
          <w:lang w:val="tr-TR"/>
        </w:rPr>
        <w:br/>
      </w:r>
      <w:r w:rsidR="00BC3611">
        <w:rPr>
          <w:rFonts w:asciiTheme="majorHAnsi" w:hAnsiTheme="majorHAnsi"/>
          <w:b/>
          <w:sz w:val="24"/>
          <w:szCs w:val="24"/>
          <w:lang w:val="tr-TR"/>
        </w:rPr>
        <w:t>0</w:t>
      </w:r>
      <w:r w:rsidR="00510ACE">
        <w:rPr>
          <w:rFonts w:asciiTheme="majorHAnsi" w:hAnsiTheme="majorHAnsi"/>
          <w:b/>
          <w:sz w:val="24"/>
          <w:szCs w:val="24"/>
          <w:lang w:val="tr-TR"/>
        </w:rPr>
        <w:t>3</w:t>
      </w:r>
      <w:r w:rsidR="00393557">
        <w:rPr>
          <w:rFonts w:asciiTheme="majorHAnsi" w:hAnsiTheme="majorHAnsi"/>
          <w:b/>
          <w:sz w:val="24"/>
          <w:szCs w:val="24"/>
          <w:lang w:val="tr-TR"/>
        </w:rPr>
        <w:t>.0</w:t>
      </w:r>
      <w:r w:rsidR="00510ACE">
        <w:rPr>
          <w:rFonts w:asciiTheme="majorHAnsi" w:hAnsiTheme="majorHAnsi"/>
          <w:b/>
          <w:sz w:val="24"/>
          <w:szCs w:val="24"/>
          <w:lang w:val="tr-TR"/>
        </w:rPr>
        <w:t>7</w:t>
      </w:r>
      <w:r w:rsidR="00393557">
        <w:rPr>
          <w:rFonts w:asciiTheme="majorHAnsi" w:hAnsiTheme="majorHAnsi"/>
          <w:b/>
          <w:sz w:val="24"/>
          <w:szCs w:val="24"/>
          <w:lang w:val="tr-TR"/>
        </w:rPr>
        <w:t>.2017</w:t>
      </w:r>
    </w:p>
    <w:p w:rsidR="00510ACE" w:rsidRPr="00510ACE" w:rsidRDefault="00510ACE" w:rsidP="00510ACE">
      <w:pPr>
        <w:spacing w:beforeLines="20" w:before="48" w:afterLines="20" w:after="48" w:line="240" w:lineRule="auto"/>
        <w:jc w:val="center"/>
        <w:rPr>
          <w:rStyle w:val="apple-style-span"/>
          <w:rFonts w:ascii="Arial Narrow" w:hAnsi="Arial Narrow"/>
          <w:b/>
          <w:color w:val="000000"/>
          <w:sz w:val="32"/>
          <w:szCs w:val="32"/>
          <w:shd w:val="clear" w:color="auto" w:fill="FFFFFF"/>
          <w:lang w:val="tr-TR"/>
        </w:rPr>
      </w:pPr>
      <w:r w:rsidRPr="00510ACE">
        <w:rPr>
          <w:rStyle w:val="apple-style-span"/>
          <w:rFonts w:ascii="Arial Narrow" w:hAnsi="Arial Narrow"/>
          <w:b/>
          <w:color w:val="000000"/>
          <w:sz w:val="32"/>
          <w:szCs w:val="32"/>
          <w:shd w:val="clear" w:color="auto" w:fill="FFFFFF"/>
          <w:lang w:val="tr-TR"/>
        </w:rPr>
        <w:t>Birleşik Metal-İş Sendikası Sınıf Araştırmaları Merkezi (BİSAM)</w:t>
      </w:r>
    </w:p>
    <w:p w:rsidR="00510ACE" w:rsidRPr="00510ACE" w:rsidRDefault="00510ACE" w:rsidP="00510ACE">
      <w:pPr>
        <w:spacing w:beforeLines="20" w:before="48" w:afterLines="20" w:after="48" w:line="240" w:lineRule="auto"/>
        <w:jc w:val="center"/>
        <w:rPr>
          <w:rStyle w:val="apple-style-span"/>
          <w:rFonts w:ascii="Arial Narrow" w:hAnsi="Arial Narrow"/>
          <w:b/>
          <w:color w:val="000000"/>
          <w:sz w:val="32"/>
          <w:szCs w:val="32"/>
          <w:shd w:val="clear" w:color="auto" w:fill="FFFFFF"/>
          <w:lang w:val="tr-TR"/>
        </w:rPr>
      </w:pPr>
      <w:r w:rsidRPr="00510ACE">
        <w:rPr>
          <w:rStyle w:val="apple-style-span"/>
          <w:rFonts w:ascii="Arial Narrow" w:hAnsi="Arial Narrow"/>
          <w:b/>
          <w:color w:val="000000"/>
          <w:sz w:val="32"/>
          <w:szCs w:val="32"/>
          <w:shd w:val="clear" w:color="auto" w:fill="FFFFFF"/>
          <w:lang w:val="tr-TR"/>
        </w:rPr>
        <w:t>Enflasyon ve Hayat Pahalılığı Dönem Raporu (HAZİRAN 2017)</w:t>
      </w:r>
    </w:p>
    <w:p w:rsidR="00510ACE" w:rsidRDefault="00510ACE" w:rsidP="00510ACE">
      <w:pPr>
        <w:spacing w:beforeLines="20" w:before="48" w:afterLines="20" w:after="48" w:line="240" w:lineRule="auto"/>
        <w:jc w:val="center"/>
        <w:rPr>
          <w:rStyle w:val="apple-style-span"/>
          <w:rFonts w:ascii="Arial Narrow" w:hAnsi="Arial Narrow"/>
          <w:b/>
          <w:color w:val="000000"/>
          <w:sz w:val="32"/>
          <w:szCs w:val="32"/>
          <w:shd w:val="clear" w:color="auto" w:fill="FFFFFF"/>
          <w:lang w:val="tr-TR"/>
        </w:rPr>
      </w:pPr>
      <w:proofErr w:type="gramStart"/>
      <w:r w:rsidRPr="00510ACE">
        <w:rPr>
          <w:rStyle w:val="apple-style-span"/>
          <w:rFonts w:ascii="Arial Narrow" w:hAnsi="Arial Narrow"/>
          <w:b/>
          <w:color w:val="000000"/>
          <w:sz w:val="32"/>
          <w:szCs w:val="32"/>
          <w:shd w:val="clear" w:color="auto" w:fill="FFFFFF"/>
          <w:lang w:val="tr-TR"/>
        </w:rPr>
        <w:t>03/07/2017</w:t>
      </w:r>
      <w:proofErr w:type="gramEnd"/>
    </w:p>
    <w:p w:rsidR="00510ACE" w:rsidRPr="00510ACE" w:rsidRDefault="00510ACE" w:rsidP="00510ACE">
      <w:pPr>
        <w:spacing w:beforeLines="20" w:before="48" w:afterLines="20" w:after="48" w:line="240" w:lineRule="auto"/>
        <w:jc w:val="center"/>
        <w:rPr>
          <w:rStyle w:val="apple-style-span"/>
          <w:rFonts w:ascii="Arial Narrow" w:hAnsi="Arial Narrow"/>
          <w:b/>
          <w:color w:val="000000"/>
          <w:sz w:val="32"/>
          <w:szCs w:val="32"/>
          <w:shd w:val="clear" w:color="auto" w:fill="FFFFFF"/>
          <w:lang w:val="tr-TR"/>
        </w:rPr>
      </w:pPr>
    </w:p>
    <w:p w:rsidR="00510ACE" w:rsidRDefault="00510ACE" w:rsidP="00510ACE">
      <w:pPr>
        <w:pStyle w:val="ListeParagraf"/>
        <w:numPr>
          <w:ilvl w:val="0"/>
          <w:numId w:val="19"/>
        </w:numPr>
        <w:spacing w:before="120" w:afterLines="20" w:after="48" w:line="240" w:lineRule="auto"/>
        <w:ind w:left="567" w:hanging="11"/>
        <w:rPr>
          <w:rStyle w:val="apple-style-span"/>
          <w:rFonts w:ascii="Arial Narrow" w:hAnsi="Arial Narrow"/>
          <w:b/>
          <w:color w:val="000000"/>
          <w:sz w:val="28"/>
          <w:szCs w:val="28"/>
          <w:shd w:val="clear" w:color="auto" w:fill="FFFFFF"/>
          <w:lang w:val="tr-TR"/>
        </w:rPr>
      </w:pPr>
      <w:r w:rsidRPr="00510ACE">
        <w:rPr>
          <w:rStyle w:val="apple-style-span"/>
          <w:rFonts w:ascii="Arial Narrow" w:hAnsi="Arial Narrow"/>
          <w:b/>
          <w:color w:val="000000"/>
          <w:sz w:val="28"/>
          <w:szCs w:val="28"/>
          <w:shd w:val="clear" w:color="auto" w:fill="FFFFFF"/>
          <w:lang w:val="tr-TR"/>
        </w:rPr>
        <w:t>ÜCRET ASGARİ ENFLASYON AZAMİ</w:t>
      </w:r>
    </w:p>
    <w:p w:rsidR="00510ACE" w:rsidRPr="00510ACE" w:rsidRDefault="00510ACE" w:rsidP="00510ACE">
      <w:pPr>
        <w:pStyle w:val="ListeParagraf"/>
        <w:numPr>
          <w:ilvl w:val="0"/>
          <w:numId w:val="19"/>
        </w:numPr>
        <w:spacing w:before="120" w:afterLines="20" w:after="48" w:line="240" w:lineRule="auto"/>
        <w:ind w:left="567" w:hanging="11"/>
        <w:rPr>
          <w:rStyle w:val="apple-style-span"/>
          <w:rFonts w:ascii="Arial Narrow" w:hAnsi="Arial Narrow"/>
          <w:b/>
          <w:color w:val="000000"/>
          <w:sz w:val="28"/>
          <w:szCs w:val="28"/>
          <w:shd w:val="clear" w:color="auto" w:fill="FFFFFF"/>
          <w:lang w:val="tr-TR"/>
        </w:rPr>
      </w:pPr>
      <w:r w:rsidRPr="00510ACE">
        <w:rPr>
          <w:rStyle w:val="apple-style-span"/>
          <w:rFonts w:ascii="Arial Narrow" w:hAnsi="Arial Narrow"/>
          <w:b/>
          <w:color w:val="000000"/>
          <w:sz w:val="28"/>
          <w:szCs w:val="28"/>
          <w:shd w:val="clear" w:color="auto" w:fill="FFFFFF"/>
          <w:lang w:val="tr-TR"/>
        </w:rPr>
        <w:t xml:space="preserve">ASGARİ ÜCRETLİ ENFLASYONA YİNE YENİLDİ </w:t>
      </w:r>
    </w:p>
    <w:p w:rsidR="00510ACE" w:rsidRPr="00510ACE" w:rsidRDefault="00510ACE" w:rsidP="00510ACE">
      <w:pPr>
        <w:pStyle w:val="ListeParagraf"/>
        <w:numPr>
          <w:ilvl w:val="0"/>
          <w:numId w:val="19"/>
        </w:numPr>
        <w:spacing w:before="120" w:afterLines="20" w:after="48" w:line="240" w:lineRule="auto"/>
        <w:ind w:left="567" w:hanging="11"/>
        <w:rPr>
          <w:rStyle w:val="apple-style-span"/>
          <w:rFonts w:ascii="Arial Narrow" w:hAnsi="Arial Narrow"/>
          <w:b/>
          <w:color w:val="000000"/>
          <w:sz w:val="28"/>
          <w:szCs w:val="28"/>
          <w:shd w:val="clear" w:color="auto" w:fill="FFFFFF"/>
          <w:lang w:val="tr-TR"/>
        </w:rPr>
      </w:pPr>
      <w:r w:rsidRPr="00510ACE">
        <w:rPr>
          <w:rStyle w:val="apple-style-span"/>
          <w:rFonts w:ascii="Arial Narrow" w:hAnsi="Arial Narrow"/>
          <w:b/>
          <w:color w:val="000000"/>
          <w:sz w:val="28"/>
          <w:szCs w:val="28"/>
          <w:shd w:val="clear" w:color="auto" w:fill="FFFFFF"/>
          <w:lang w:val="tr-TR"/>
        </w:rPr>
        <w:t>ALIM GÜCÜ KAYBI ETTE YÜZDE 9’A ULAŞTI</w:t>
      </w:r>
    </w:p>
    <w:p w:rsidR="00510ACE" w:rsidRPr="00510ACE" w:rsidRDefault="00510ACE" w:rsidP="00510ACE">
      <w:pPr>
        <w:pStyle w:val="ListeParagraf"/>
        <w:numPr>
          <w:ilvl w:val="0"/>
          <w:numId w:val="19"/>
        </w:numPr>
        <w:spacing w:before="120" w:afterLines="20" w:after="48" w:line="240" w:lineRule="auto"/>
        <w:ind w:left="567" w:hanging="11"/>
        <w:rPr>
          <w:rStyle w:val="apple-style-span"/>
          <w:rFonts w:ascii="Arial Narrow" w:hAnsi="Arial Narrow"/>
          <w:b/>
          <w:color w:val="000000"/>
          <w:sz w:val="28"/>
          <w:szCs w:val="28"/>
          <w:shd w:val="clear" w:color="auto" w:fill="FFFFFF"/>
          <w:lang w:val="tr-TR"/>
        </w:rPr>
      </w:pPr>
      <w:r w:rsidRPr="00510ACE">
        <w:rPr>
          <w:rStyle w:val="apple-style-span"/>
          <w:rFonts w:ascii="Arial Narrow" w:hAnsi="Arial Narrow"/>
          <w:b/>
          <w:color w:val="000000"/>
          <w:sz w:val="28"/>
          <w:szCs w:val="28"/>
          <w:shd w:val="clear" w:color="auto" w:fill="FFFFFF"/>
          <w:lang w:val="tr-TR"/>
        </w:rPr>
        <w:t>REEL KAYIP YÜZDE 2,7 SEVİYESİNDE</w:t>
      </w:r>
    </w:p>
    <w:p w:rsidR="00510ACE" w:rsidRPr="00510ACE" w:rsidRDefault="00510ACE" w:rsidP="00510ACE">
      <w:pPr>
        <w:pStyle w:val="ListeParagraf"/>
        <w:numPr>
          <w:ilvl w:val="0"/>
          <w:numId w:val="19"/>
        </w:numPr>
        <w:spacing w:before="120" w:afterLines="20" w:after="48" w:line="240" w:lineRule="auto"/>
        <w:ind w:left="567" w:hanging="11"/>
        <w:rPr>
          <w:rStyle w:val="apple-style-span"/>
          <w:rFonts w:ascii="Arial Narrow" w:hAnsi="Arial Narrow"/>
          <w:b/>
          <w:color w:val="000000"/>
          <w:sz w:val="28"/>
          <w:szCs w:val="28"/>
          <w:shd w:val="clear" w:color="auto" w:fill="FFFFFF"/>
          <w:lang w:val="tr-TR"/>
        </w:rPr>
      </w:pPr>
      <w:r w:rsidRPr="00510ACE">
        <w:rPr>
          <w:rStyle w:val="apple-style-span"/>
          <w:rFonts w:ascii="Arial Narrow" w:hAnsi="Arial Narrow"/>
          <w:b/>
          <w:color w:val="000000"/>
          <w:sz w:val="28"/>
          <w:szCs w:val="28"/>
          <w:shd w:val="clear" w:color="auto" w:fill="FFFFFF"/>
          <w:lang w:val="tr-TR"/>
        </w:rPr>
        <w:t>REEL KAYIP DERHAL GİDERİLMELİDİR</w:t>
      </w:r>
    </w:p>
    <w:p w:rsidR="00510ACE" w:rsidRPr="00510ACE" w:rsidRDefault="00510ACE" w:rsidP="00510ACE">
      <w:pPr>
        <w:tabs>
          <w:tab w:val="left" w:pos="3980"/>
        </w:tabs>
        <w:spacing w:beforeLines="20" w:before="48" w:afterLines="20" w:after="48" w:line="240" w:lineRule="auto"/>
        <w:ind w:left="567" w:hanging="11"/>
        <w:rPr>
          <w:rStyle w:val="apple-style-span"/>
          <w:rFonts w:asciiTheme="majorHAnsi" w:hAnsiTheme="majorHAnsi"/>
          <w:b/>
          <w:color w:val="000000"/>
          <w:sz w:val="25"/>
          <w:szCs w:val="25"/>
          <w:shd w:val="clear" w:color="auto" w:fill="FFFFFF"/>
          <w:lang w:val="tr-TR"/>
        </w:rPr>
      </w:pPr>
    </w:p>
    <w:p w:rsidR="00510ACE" w:rsidRPr="00510ACE" w:rsidRDefault="00510ACE" w:rsidP="00510ACE">
      <w:pPr>
        <w:spacing w:beforeLines="20" w:before="48" w:afterLines="20" w:after="48" w:line="240" w:lineRule="auto"/>
        <w:jc w:val="both"/>
        <w:rPr>
          <w:rStyle w:val="apple-style-span"/>
          <w:rFonts w:asciiTheme="majorHAnsi" w:hAnsiTheme="majorHAnsi"/>
          <w:color w:val="000000"/>
          <w:sz w:val="25"/>
          <w:szCs w:val="25"/>
          <w:shd w:val="clear" w:color="auto" w:fill="FFFFFF"/>
          <w:lang w:val="tr-TR"/>
        </w:rPr>
      </w:pPr>
      <w:r w:rsidRPr="00510ACE">
        <w:rPr>
          <w:rStyle w:val="apple-style-span"/>
          <w:rFonts w:asciiTheme="majorHAnsi" w:hAnsiTheme="majorHAnsi"/>
          <w:color w:val="000000"/>
          <w:sz w:val="25"/>
          <w:szCs w:val="25"/>
          <w:shd w:val="clear" w:color="auto" w:fill="FFFFFF"/>
          <w:lang w:val="tr-TR"/>
        </w:rPr>
        <w:t xml:space="preserve">Birleşik Metal İş Sendikası Sınıf Araştırmaları Merkezi (BİSAM) tarafından hazırlanan Enflasyon ve Hayat Pahalılığı Haziran 2017 Dönem Raporu’nun sonuçlarına göre TÜİK tarafından yüzde 10,9 olarak açıklanan </w:t>
      </w:r>
      <w:r w:rsidR="00026E60">
        <w:rPr>
          <w:rStyle w:val="apple-style-span"/>
          <w:rFonts w:asciiTheme="majorHAnsi" w:hAnsiTheme="majorHAnsi"/>
          <w:color w:val="000000"/>
          <w:sz w:val="25"/>
          <w:szCs w:val="25"/>
          <w:shd w:val="clear" w:color="auto" w:fill="FFFFFF"/>
          <w:lang w:val="tr-TR"/>
        </w:rPr>
        <w:t>yıllık</w:t>
      </w:r>
      <w:bookmarkStart w:id="0" w:name="_GoBack"/>
      <w:bookmarkEnd w:id="0"/>
      <w:r w:rsidRPr="00510ACE">
        <w:rPr>
          <w:rStyle w:val="apple-style-span"/>
          <w:rFonts w:asciiTheme="majorHAnsi" w:hAnsiTheme="majorHAnsi"/>
          <w:color w:val="000000"/>
          <w:sz w:val="25"/>
          <w:szCs w:val="25"/>
          <w:shd w:val="clear" w:color="auto" w:fill="FFFFFF"/>
          <w:lang w:val="tr-TR"/>
        </w:rPr>
        <w:t xml:space="preserve"> Tüketici Fiyat Endeksi’ndeki artış, kendi hesabına çalışanlar için yüzde 11,46, yevmiyelilerde yüzde 11,32 olarak gerçekleşti. En yoksul yüzde 20’lik dilim için yıllık enflasyona yüzde 11,21 olurken en zengin yüzde 20’lik dilim için bu oran yüzde 10,86 ile genel enflasyon seviyesinin altında kaldı. Aylık enflasyonun yüzde 0,27 oranında gerilerken yevmiyeliler yüzde 16 ile bu düşüşü daha az hissetti. </w:t>
      </w:r>
    </w:p>
    <w:p w:rsidR="00510ACE" w:rsidRPr="00510ACE" w:rsidRDefault="00510ACE" w:rsidP="00510ACE">
      <w:pPr>
        <w:spacing w:beforeLines="20" w:before="48" w:afterLines="20" w:after="48" w:line="240" w:lineRule="auto"/>
        <w:jc w:val="both"/>
        <w:rPr>
          <w:rStyle w:val="apple-style-span"/>
          <w:rFonts w:asciiTheme="majorHAnsi" w:hAnsiTheme="majorHAnsi"/>
          <w:color w:val="000000"/>
          <w:sz w:val="25"/>
          <w:szCs w:val="25"/>
          <w:shd w:val="clear" w:color="auto" w:fill="FFFFFF"/>
          <w:lang w:val="tr-TR"/>
        </w:rPr>
      </w:pPr>
      <w:r w:rsidRPr="00510ACE">
        <w:rPr>
          <w:rStyle w:val="apple-style-span"/>
          <w:rFonts w:asciiTheme="majorHAnsi" w:hAnsiTheme="majorHAnsi"/>
          <w:color w:val="000000"/>
          <w:sz w:val="25"/>
          <w:szCs w:val="25"/>
          <w:shd w:val="clear" w:color="auto" w:fill="FFFFFF"/>
          <w:lang w:val="tr-TR"/>
        </w:rPr>
        <w:t xml:space="preserve">Enflasyon toplumun her kesimini yaptıkları harcamalara göre farklı olarak yansıyor. Örneğin gıda fiyatlarındaki artış dar gelirliyi daha fazla etkiliyor. Nitekim farklı gelir gruplarına ve statüye sahip olan kesimler, fiyat atışlarını farklı düzeylerde hissediyor. Tüm gelir grupları için tek bir Tüketici Fiyat Endeksi açıklanıyor. Bunun bir sonucu olarak yaşadığımız enflasyon resmi enflasyon ile uyumsuzluk gösteriyor. </w:t>
      </w:r>
    </w:p>
    <w:p w:rsidR="00510ACE" w:rsidRPr="00510ACE" w:rsidRDefault="00510ACE" w:rsidP="00510ACE">
      <w:pPr>
        <w:spacing w:before="240" w:after="120" w:line="240" w:lineRule="auto"/>
        <w:jc w:val="both"/>
        <w:rPr>
          <w:rStyle w:val="apple-style-span"/>
          <w:rFonts w:ascii="Arial Narrow" w:hAnsi="Arial Narrow"/>
          <w:b/>
          <w:color w:val="000000"/>
          <w:sz w:val="28"/>
          <w:szCs w:val="28"/>
          <w:shd w:val="clear" w:color="auto" w:fill="FFFFFF"/>
          <w:lang w:val="tr-TR"/>
        </w:rPr>
      </w:pPr>
      <w:r w:rsidRPr="00510ACE">
        <w:rPr>
          <w:rStyle w:val="apple-style-span"/>
          <w:rFonts w:ascii="Arial Narrow" w:hAnsi="Arial Narrow"/>
          <w:b/>
          <w:color w:val="000000"/>
          <w:sz w:val="28"/>
          <w:szCs w:val="28"/>
          <w:shd w:val="clear" w:color="auto" w:fill="FFFFFF"/>
          <w:lang w:val="tr-TR"/>
        </w:rPr>
        <w:t>ENFLASYON HESAPLAMASI YOKSULLAŞMAYI GİZLEDİ</w:t>
      </w:r>
    </w:p>
    <w:p w:rsidR="00510ACE" w:rsidRPr="00510ACE" w:rsidRDefault="00510ACE" w:rsidP="00510ACE">
      <w:pPr>
        <w:spacing w:beforeLines="20" w:before="48" w:afterLines="20" w:after="48" w:line="240" w:lineRule="auto"/>
        <w:jc w:val="both"/>
        <w:rPr>
          <w:rStyle w:val="apple-style-span"/>
          <w:rFonts w:asciiTheme="majorHAnsi" w:hAnsiTheme="majorHAnsi"/>
          <w:color w:val="000000"/>
          <w:sz w:val="25"/>
          <w:szCs w:val="25"/>
          <w:shd w:val="clear" w:color="auto" w:fill="FFFFFF"/>
          <w:lang w:val="tr-TR"/>
        </w:rPr>
      </w:pPr>
      <w:r w:rsidRPr="00510ACE">
        <w:rPr>
          <w:rStyle w:val="apple-style-span"/>
          <w:rFonts w:asciiTheme="majorHAnsi" w:hAnsiTheme="majorHAnsi"/>
          <w:color w:val="000000"/>
          <w:sz w:val="25"/>
          <w:szCs w:val="25"/>
          <w:shd w:val="clear" w:color="auto" w:fill="FFFFFF"/>
          <w:lang w:val="tr-TR"/>
        </w:rPr>
        <w:t xml:space="preserve">BİSAM, TÜİK Tüketim Harcamaları İstatistikleri ve TÜİK Tüketici Fiyat Endeksi Harcama Gruplarına Göre Endeks Sonuçlarını kullanarak farklı gelir grupları için enflasyon hesaplaması yapıyor. </w:t>
      </w:r>
    </w:p>
    <w:p w:rsidR="00510ACE" w:rsidRPr="00510ACE" w:rsidRDefault="00510ACE" w:rsidP="00510ACE">
      <w:pPr>
        <w:spacing w:before="120" w:afterLines="20" w:after="48" w:line="240" w:lineRule="auto"/>
        <w:jc w:val="both"/>
        <w:rPr>
          <w:rStyle w:val="apple-style-span"/>
          <w:rFonts w:asciiTheme="majorHAnsi" w:hAnsiTheme="majorHAnsi"/>
          <w:color w:val="000000"/>
          <w:sz w:val="25"/>
          <w:szCs w:val="25"/>
          <w:shd w:val="clear" w:color="auto" w:fill="FFFFFF"/>
          <w:lang w:val="tr-TR"/>
        </w:rPr>
      </w:pPr>
      <w:r w:rsidRPr="00510ACE">
        <w:rPr>
          <w:rStyle w:val="apple-style-span"/>
          <w:rFonts w:asciiTheme="majorHAnsi" w:hAnsiTheme="majorHAnsi"/>
          <w:color w:val="000000"/>
          <w:sz w:val="25"/>
          <w:szCs w:val="25"/>
          <w:shd w:val="clear" w:color="auto" w:fill="FFFFFF"/>
          <w:lang w:val="tr-TR"/>
        </w:rPr>
        <w:t>Bu hesaplamaya göre enflasyon çeşitli gelir ve tüketim grupları için farklı sonuçlar yaratıyor. Buna göre;</w:t>
      </w:r>
    </w:p>
    <w:p w:rsidR="00510ACE" w:rsidRPr="00510ACE" w:rsidRDefault="00510ACE" w:rsidP="00510ACE">
      <w:pPr>
        <w:pStyle w:val="ListeParagraf"/>
        <w:numPr>
          <w:ilvl w:val="0"/>
          <w:numId w:val="18"/>
        </w:numPr>
        <w:spacing w:beforeLines="20" w:before="48" w:afterLines="20" w:after="48" w:line="240" w:lineRule="auto"/>
        <w:jc w:val="both"/>
        <w:rPr>
          <w:rStyle w:val="apple-style-span"/>
          <w:rFonts w:asciiTheme="majorHAnsi" w:hAnsiTheme="majorHAnsi"/>
          <w:color w:val="000000"/>
          <w:sz w:val="25"/>
          <w:szCs w:val="25"/>
          <w:shd w:val="clear" w:color="auto" w:fill="FFFFFF"/>
          <w:lang w:val="tr-TR"/>
        </w:rPr>
      </w:pPr>
      <w:r w:rsidRPr="00510ACE">
        <w:rPr>
          <w:rStyle w:val="apple-style-span"/>
          <w:rFonts w:asciiTheme="majorHAnsi" w:hAnsiTheme="majorHAnsi"/>
          <w:color w:val="000000"/>
          <w:sz w:val="25"/>
          <w:szCs w:val="25"/>
          <w:shd w:val="clear" w:color="auto" w:fill="FFFFFF"/>
          <w:lang w:val="tr-TR"/>
        </w:rPr>
        <w:t xml:space="preserve">Haziran 2003-Haziran 2017 dönemleri arasında genel TÜFE yüzde 209 artış gösterirken bu oran düzenli ücretlilerde yüzde 233, </w:t>
      </w:r>
    </w:p>
    <w:p w:rsidR="00510ACE" w:rsidRPr="00510ACE" w:rsidRDefault="00510ACE" w:rsidP="00510ACE">
      <w:pPr>
        <w:pStyle w:val="ListeParagraf"/>
        <w:numPr>
          <w:ilvl w:val="0"/>
          <w:numId w:val="18"/>
        </w:numPr>
        <w:spacing w:beforeLines="20" w:before="48" w:afterLines="20" w:after="48" w:line="240" w:lineRule="auto"/>
        <w:jc w:val="both"/>
        <w:rPr>
          <w:rStyle w:val="apple-style-span"/>
          <w:rFonts w:asciiTheme="majorHAnsi" w:hAnsiTheme="majorHAnsi"/>
          <w:color w:val="000000"/>
          <w:sz w:val="25"/>
          <w:szCs w:val="25"/>
          <w:shd w:val="clear" w:color="auto" w:fill="FFFFFF"/>
          <w:lang w:val="tr-TR"/>
        </w:rPr>
      </w:pPr>
      <w:r w:rsidRPr="00510ACE">
        <w:rPr>
          <w:rStyle w:val="apple-style-span"/>
          <w:rFonts w:asciiTheme="majorHAnsi" w:hAnsiTheme="majorHAnsi"/>
          <w:color w:val="000000"/>
          <w:sz w:val="25"/>
          <w:szCs w:val="25"/>
          <w:shd w:val="clear" w:color="auto" w:fill="FFFFFF"/>
          <w:lang w:val="tr-TR"/>
        </w:rPr>
        <w:t xml:space="preserve">Yevmiyeli çalışanlar için yüzde 248, </w:t>
      </w:r>
    </w:p>
    <w:p w:rsidR="00510ACE" w:rsidRPr="00510ACE" w:rsidRDefault="00510ACE" w:rsidP="00510ACE">
      <w:pPr>
        <w:pStyle w:val="ListeParagraf"/>
        <w:numPr>
          <w:ilvl w:val="0"/>
          <w:numId w:val="18"/>
        </w:numPr>
        <w:spacing w:beforeLines="20" w:before="48" w:afterLines="20" w:after="48" w:line="240" w:lineRule="auto"/>
        <w:jc w:val="both"/>
        <w:rPr>
          <w:rStyle w:val="apple-style-span"/>
          <w:rFonts w:asciiTheme="majorHAnsi" w:hAnsiTheme="majorHAnsi"/>
          <w:color w:val="000000"/>
          <w:sz w:val="25"/>
          <w:szCs w:val="25"/>
          <w:shd w:val="clear" w:color="auto" w:fill="FFFFFF"/>
          <w:lang w:val="tr-TR"/>
        </w:rPr>
      </w:pPr>
      <w:r w:rsidRPr="00510ACE">
        <w:rPr>
          <w:rStyle w:val="apple-style-span"/>
          <w:rFonts w:asciiTheme="majorHAnsi" w:hAnsiTheme="majorHAnsi"/>
          <w:color w:val="000000"/>
          <w:sz w:val="25"/>
          <w:szCs w:val="25"/>
          <w:shd w:val="clear" w:color="auto" w:fill="FFFFFF"/>
          <w:lang w:val="tr-TR"/>
        </w:rPr>
        <w:t>Emekli aylığı ile geçinenlerde yüzde 238,</w:t>
      </w:r>
    </w:p>
    <w:p w:rsidR="00510ACE" w:rsidRPr="00510ACE" w:rsidRDefault="00510ACE" w:rsidP="00510ACE">
      <w:pPr>
        <w:pStyle w:val="ListeParagraf"/>
        <w:numPr>
          <w:ilvl w:val="0"/>
          <w:numId w:val="18"/>
        </w:numPr>
        <w:spacing w:beforeLines="20" w:before="48" w:afterLines="20" w:after="48" w:line="240" w:lineRule="auto"/>
        <w:jc w:val="both"/>
        <w:rPr>
          <w:rStyle w:val="apple-style-span"/>
          <w:rFonts w:asciiTheme="majorHAnsi" w:hAnsiTheme="majorHAnsi"/>
          <w:color w:val="000000"/>
          <w:sz w:val="25"/>
          <w:szCs w:val="25"/>
          <w:shd w:val="clear" w:color="auto" w:fill="FFFFFF"/>
          <w:lang w:val="tr-TR"/>
        </w:rPr>
      </w:pPr>
      <w:r w:rsidRPr="00510ACE">
        <w:rPr>
          <w:rStyle w:val="apple-style-span"/>
          <w:rFonts w:asciiTheme="majorHAnsi" w:hAnsiTheme="majorHAnsi"/>
          <w:color w:val="000000"/>
          <w:sz w:val="25"/>
          <w:szCs w:val="25"/>
          <w:shd w:val="clear" w:color="auto" w:fill="FFFFFF"/>
          <w:lang w:val="tr-TR"/>
        </w:rPr>
        <w:t>Nüfusun en yoksul yüzde 20’lik kesiminde yüzde 243 oldu. En zengin yüzde 20’lik dilim için ise enflasyon yüzde 228 olarak gerçekleşti. Buna göre enflasyon yoksulu daha fazla vurdu.</w:t>
      </w:r>
    </w:p>
    <w:p w:rsidR="00510ACE" w:rsidRPr="00510ACE" w:rsidRDefault="00510ACE" w:rsidP="00510ACE">
      <w:pPr>
        <w:spacing w:beforeLines="20" w:before="48" w:afterLines="20" w:after="48" w:line="240" w:lineRule="auto"/>
        <w:jc w:val="both"/>
        <w:rPr>
          <w:rFonts w:asciiTheme="majorHAnsi" w:hAnsiTheme="majorHAnsi"/>
          <w:sz w:val="25"/>
          <w:szCs w:val="25"/>
          <w:lang w:val="tr-TR"/>
        </w:rPr>
      </w:pPr>
      <w:r w:rsidRPr="00510ACE">
        <w:rPr>
          <w:rStyle w:val="apple-style-span"/>
          <w:rFonts w:asciiTheme="majorHAnsi" w:hAnsiTheme="majorHAnsi"/>
          <w:color w:val="000000"/>
          <w:sz w:val="25"/>
          <w:szCs w:val="25"/>
          <w:shd w:val="clear" w:color="auto" w:fill="FFFFFF"/>
          <w:lang w:val="tr-TR"/>
        </w:rPr>
        <w:lastRenderedPageBreak/>
        <w:t>BİSAM tarafından Haziran 2003-Haziran 2017 dönemlerine göre gizli yoksullaşma oranları da hesaplandı. Gizli yoksullaşma genel enflasyon rakamları ile farklı gelir gruplarının enflasyonlarının arasındaki farktan kaynaklanan ve kayıtlara yansımayan yoksullaşma düzeyini ortaya koyuyor.</w:t>
      </w:r>
    </w:p>
    <w:p w:rsidR="00510ACE" w:rsidRPr="00510ACE" w:rsidRDefault="00510ACE" w:rsidP="00510ACE">
      <w:pPr>
        <w:spacing w:beforeLines="20" w:before="48" w:afterLines="20" w:after="48" w:line="240" w:lineRule="auto"/>
        <w:jc w:val="both"/>
        <w:rPr>
          <w:rFonts w:asciiTheme="majorHAnsi" w:hAnsiTheme="majorHAnsi"/>
          <w:sz w:val="25"/>
          <w:szCs w:val="25"/>
          <w:lang w:val="tr-TR"/>
        </w:rPr>
      </w:pPr>
      <w:r w:rsidRPr="00510ACE">
        <w:rPr>
          <w:rFonts w:asciiTheme="majorHAnsi" w:hAnsiTheme="majorHAnsi"/>
          <w:sz w:val="25"/>
          <w:szCs w:val="25"/>
          <w:lang w:val="tr-TR"/>
        </w:rPr>
        <w:t>Buna göre son 14 yıllık dönemde (</w:t>
      </w:r>
      <w:r w:rsidRPr="00510ACE">
        <w:rPr>
          <w:rStyle w:val="apple-style-span"/>
          <w:rFonts w:asciiTheme="majorHAnsi" w:hAnsiTheme="majorHAnsi"/>
          <w:color w:val="000000"/>
          <w:sz w:val="25"/>
          <w:szCs w:val="25"/>
          <w:shd w:val="clear" w:color="auto" w:fill="FFFFFF"/>
          <w:lang w:val="tr-TR"/>
        </w:rPr>
        <w:t>Haziran 2003-Haziran 2017</w:t>
      </w:r>
      <w:r w:rsidRPr="00510ACE">
        <w:rPr>
          <w:rFonts w:asciiTheme="majorHAnsi" w:hAnsiTheme="majorHAnsi"/>
          <w:sz w:val="25"/>
          <w:szCs w:val="25"/>
          <w:lang w:val="tr-TR"/>
        </w:rPr>
        <w:t>) gizli yoksullaşmayı en yoğun olarak yaşayanlar, işteki duruma göre yüzde 11,1 ile “Yevmiyeliler”, mesleğe göre yüzde 9,9 ile “Nitelik gerektirmeyen işlerde çalışanlar”, temel gelir kaynağına göre yüzde 10,5 ile “Diğer Transferlerle Geçinenler” oldu.</w:t>
      </w:r>
      <w:r>
        <w:rPr>
          <w:rFonts w:asciiTheme="majorHAnsi" w:hAnsiTheme="majorHAnsi"/>
          <w:sz w:val="25"/>
          <w:szCs w:val="25"/>
          <w:lang w:val="tr-TR"/>
        </w:rPr>
        <w:t xml:space="preserve"> </w:t>
      </w:r>
      <w:r w:rsidRPr="00510ACE">
        <w:rPr>
          <w:rFonts w:asciiTheme="majorHAnsi" w:hAnsiTheme="majorHAnsi"/>
          <w:sz w:val="25"/>
          <w:szCs w:val="25"/>
          <w:lang w:val="tr-TR"/>
        </w:rPr>
        <w:t xml:space="preserve"> Enflasyon nedeniyle yaşanan gizli yoksullaşma en yoksul yüzde 20 için yüzde 9,7 seviyesinde gerçekleşti. Buna karşın en zengin yüzde 20 için gizli yoksullaşma yüzde 5,7 oldu. </w:t>
      </w:r>
    </w:p>
    <w:p w:rsidR="00510ACE" w:rsidRPr="00510ACE" w:rsidRDefault="00510ACE" w:rsidP="00510ACE">
      <w:pPr>
        <w:spacing w:before="240" w:after="120" w:line="240" w:lineRule="auto"/>
        <w:jc w:val="both"/>
        <w:rPr>
          <w:rStyle w:val="apple-style-span"/>
          <w:rFonts w:ascii="Arial Narrow" w:hAnsi="Arial Narrow"/>
          <w:b/>
          <w:sz w:val="28"/>
          <w:szCs w:val="28"/>
          <w:lang w:val="tr-TR"/>
        </w:rPr>
      </w:pPr>
      <w:r w:rsidRPr="00510ACE">
        <w:rPr>
          <w:rFonts w:ascii="Arial Narrow" w:hAnsi="Arial Narrow"/>
          <w:b/>
          <w:sz w:val="28"/>
          <w:szCs w:val="28"/>
          <w:lang w:val="tr-TR"/>
        </w:rPr>
        <w:t xml:space="preserve"> ASGARİ ÜCRET ALIM</w:t>
      </w:r>
    </w:p>
    <w:p w:rsidR="00510ACE" w:rsidRPr="00510ACE" w:rsidRDefault="00510ACE" w:rsidP="00510ACE">
      <w:pPr>
        <w:spacing w:beforeLines="20" w:before="48" w:afterLines="20" w:after="48" w:line="240" w:lineRule="auto"/>
        <w:jc w:val="both"/>
        <w:rPr>
          <w:rStyle w:val="apple-style-span"/>
          <w:rFonts w:asciiTheme="majorHAnsi" w:hAnsiTheme="majorHAnsi"/>
          <w:color w:val="000000"/>
          <w:sz w:val="25"/>
          <w:szCs w:val="25"/>
          <w:shd w:val="clear" w:color="auto" w:fill="FFFFFF"/>
          <w:lang w:val="tr-TR"/>
        </w:rPr>
      </w:pPr>
      <w:r w:rsidRPr="00510ACE">
        <w:rPr>
          <w:rStyle w:val="apple-style-span"/>
          <w:rFonts w:asciiTheme="majorHAnsi" w:hAnsiTheme="majorHAnsi"/>
          <w:color w:val="000000"/>
          <w:sz w:val="25"/>
          <w:szCs w:val="25"/>
          <w:shd w:val="clear" w:color="auto" w:fill="FFFFFF"/>
          <w:lang w:val="tr-TR"/>
        </w:rPr>
        <w:t xml:space="preserve">Asgari ücret geçtiğimiz yılın aynı dönemine göre yüzde 7,9 artış göstererek AGİ (Asgari Geçim İndirimi) dâhil 1404 TL seviyesinde buna karşın enflasyon oranı resmi olarak yüzde 11,72 olarak gerçekleşti. Asgari ücret enflasyon karşısına alım gücünü bir yılda yüzde 2,7 seviyesinde kaybetti. </w:t>
      </w:r>
    </w:p>
    <w:p w:rsidR="00510ACE" w:rsidRDefault="00510ACE" w:rsidP="00510ACE">
      <w:pPr>
        <w:spacing w:beforeLines="20" w:before="48" w:afterLines="20" w:after="48" w:line="240" w:lineRule="auto"/>
        <w:jc w:val="both"/>
        <w:rPr>
          <w:rStyle w:val="apple-style-span"/>
          <w:rFonts w:asciiTheme="majorHAnsi" w:hAnsiTheme="majorHAnsi"/>
          <w:color w:val="000000"/>
          <w:sz w:val="25"/>
          <w:szCs w:val="25"/>
          <w:shd w:val="clear" w:color="auto" w:fill="FFFFFF"/>
          <w:lang w:val="tr-TR"/>
        </w:rPr>
      </w:pPr>
    </w:p>
    <w:p w:rsidR="00510ACE" w:rsidRPr="00510ACE" w:rsidRDefault="00510ACE" w:rsidP="00510ACE">
      <w:pPr>
        <w:spacing w:beforeLines="20" w:before="48" w:afterLines="20" w:after="48" w:line="240" w:lineRule="auto"/>
        <w:jc w:val="both"/>
        <w:rPr>
          <w:rStyle w:val="apple-style-span"/>
          <w:rFonts w:asciiTheme="majorHAnsi" w:hAnsiTheme="majorHAnsi"/>
          <w:b/>
          <w:i/>
          <w:color w:val="000000"/>
          <w:sz w:val="25"/>
          <w:szCs w:val="25"/>
          <w:shd w:val="clear" w:color="auto" w:fill="FFFFFF"/>
          <w:lang w:val="tr-TR"/>
        </w:rPr>
      </w:pPr>
      <w:r w:rsidRPr="00510ACE">
        <w:rPr>
          <w:rStyle w:val="apple-style-span"/>
          <w:rFonts w:asciiTheme="majorHAnsi" w:hAnsiTheme="majorHAnsi"/>
          <w:b/>
          <w:i/>
          <w:color w:val="000000"/>
          <w:sz w:val="25"/>
          <w:szCs w:val="25"/>
          <w:shd w:val="clear" w:color="auto" w:fill="FFFFFF"/>
          <w:lang w:val="tr-TR"/>
        </w:rPr>
        <w:t>Grafik- Asgari Ücrette Alım Gücü Kaybı</w:t>
      </w:r>
    </w:p>
    <w:p w:rsidR="00510ACE" w:rsidRPr="00510ACE" w:rsidRDefault="00510ACE" w:rsidP="00510ACE">
      <w:pPr>
        <w:spacing w:beforeLines="20" w:before="48" w:afterLines="20" w:after="48" w:line="240" w:lineRule="auto"/>
        <w:jc w:val="both"/>
        <w:rPr>
          <w:rStyle w:val="apple-style-span"/>
          <w:rFonts w:asciiTheme="majorHAnsi" w:hAnsiTheme="majorHAnsi"/>
          <w:color w:val="000000"/>
          <w:sz w:val="25"/>
          <w:szCs w:val="25"/>
          <w:shd w:val="clear" w:color="auto" w:fill="FFFFFF"/>
          <w:lang w:val="tr-TR"/>
        </w:rPr>
      </w:pPr>
      <w:r w:rsidRPr="00510ACE">
        <w:rPr>
          <w:rFonts w:asciiTheme="majorHAnsi" w:hAnsiTheme="majorHAnsi"/>
          <w:noProof/>
          <w:sz w:val="25"/>
          <w:szCs w:val="25"/>
          <w:lang w:val="tr-TR" w:eastAsia="tr-TR" w:bidi="ar-SA"/>
        </w:rPr>
        <w:drawing>
          <wp:inline distT="0" distB="0" distL="0" distR="0" wp14:anchorId="58C96F9A" wp14:editId="42CB5D42">
            <wp:extent cx="6141720" cy="3695990"/>
            <wp:effectExtent l="0" t="0" r="11430" b="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10ACE" w:rsidRPr="00510ACE" w:rsidRDefault="00510ACE" w:rsidP="00510ACE">
      <w:pPr>
        <w:spacing w:beforeLines="20" w:before="48" w:afterLines="20" w:after="48" w:line="240" w:lineRule="auto"/>
        <w:jc w:val="both"/>
        <w:rPr>
          <w:rStyle w:val="apple-style-span"/>
          <w:rFonts w:asciiTheme="majorHAnsi" w:hAnsiTheme="majorHAnsi"/>
          <w:color w:val="000000"/>
          <w:sz w:val="20"/>
          <w:szCs w:val="20"/>
          <w:shd w:val="clear" w:color="auto" w:fill="FFFFFF"/>
          <w:lang w:val="tr-TR"/>
        </w:rPr>
      </w:pPr>
      <w:r w:rsidRPr="00510ACE">
        <w:rPr>
          <w:rStyle w:val="apple-style-span"/>
          <w:rFonts w:asciiTheme="majorHAnsi" w:hAnsiTheme="majorHAnsi"/>
          <w:b/>
          <w:color w:val="000000"/>
          <w:sz w:val="20"/>
          <w:szCs w:val="20"/>
          <w:shd w:val="clear" w:color="auto" w:fill="FFFFFF"/>
          <w:lang w:val="tr-TR"/>
        </w:rPr>
        <w:t>Kaynak:</w:t>
      </w:r>
      <w:r w:rsidRPr="00510ACE">
        <w:rPr>
          <w:rStyle w:val="apple-style-span"/>
          <w:rFonts w:asciiTheme="majorHAnsi" w:hAnsiTheme="majorHAnsi"/>
          <w:color w:val="000000"/>
          <w:sz w:val="20"/>
          <w:szCs w:val="20"/>
          <w:shd w:val="clear" w:color="auto" w:fill="FFFFFF"/>
          <w:lang w:val="tr-TR"/>
        </w:rPr>
        <w:t xml:space="preserve"> TÜİK TÜFE Harcama Gruplarına Göre Endeks Sonuçları, Çalışma ve Sosyal Güvenlik Bakanlığı Asgari Ücret Verileri üzerinden tarafımızca hesaplanmıştır</w:t>
      </w:r>
    </w:p>
    <w:p w:rsidR="00510ACE" w:rsidRDefault="00510ACE" w:rsidP="00510ACE">
      <w:pPr>
        <w:spacing w:beforeLines="20" w:before="48" w:afterLines="20" w:after="48" w:line="240" w:lineRule="auto"/>
        <w:jc w:val="both"/>
        <w:rPr>
          <w:rStyle w:val="apple-style-span"/>
          <w:rFonts w:asciiTheme="majorHAnsi" w:hAnsiTheme="majorHAnsi"/>
          <w:color w:val="000000"/>
          <w:sz w:val="25"/>
          <w:szCs w:val="25"/>
          <w:shd w:val="clear" w:color="auto" w:fill="FFFFFF"/>
          <w:lang w:val="tr-TR"/>
        </w:rPr>
      </w:pPr>
    </w:p>
    <w:p w:rsidR="00510ACE" w:rsidRPr="00510ACE" w:rsidRDefault="00510ACE" w:rsidP="00510ACE">
      <w:pPr>
        <w:spacing w:beforeLines="20" w:before="48" w:afterLines="20" w:after="48" w:line="240" w:lineRule="auto"/>
        <w:jc w:val="both"/>
        <w:rPr>
          <w:rStyle w:val="apple-style-span"/>
          <w:rFonts w:asciiTheme="majorHAnsi" w:hAnsiTheme="majorHAnsi"/>
          <w:color w:val="000000"/>
          <w:sz w:val="25"/>
          <w:szCs w:val="25"/>
          <w:shd w:val="clear" w:color="auto" w:fill="FFFFFF"/>
          <w:lang w:val="tr-TR"/>
        </w:rPr>
      </w:pPr>
      <w:r w:rsidRPr="00510ACE">
        <w:rPr>
          <w:rStyle w:val="apple-style-span"/>
          <w:rFonts w:asciiTheme="majorHAnsi" w:hAnsiTheme="majorHAnsi"/>
          <w:color w:val="000000"/>
          <w:sz w:val="25"/>
          <w:szCs w:val="25"/>
          <w:shd w:val="clear" w:color="auto" w:fill="FFFFFF"/>
          <w:lang w:val="tr-TR"/>
        </w:rPr>
        <w:t>Asgari ücretin alım gücü kaybı sebzede yüzde 14,2 meyvede yüzde 10,1, katı ve sıvı yağlarda yüzde 2,8, ette yüzde 9,2, ekmek ve tahıllarda yüzde 0,5, ilaçlarda yüzde 7,9, kirada yüzde 0,8, ulaştırmada yüzde 2,9 kayıp yaşandı. Kayıp enflasyon hesaplamasından kaynaklı olarak mevcuttan daha düşük çıktı.</w:t>
      </w:r>
      <w:r>
        <w:rPr>
          <w:rStyle w:val="apple-style-span"/>
          <w:rFonts w:asciiTheme="majorHAnsi" w:hAnsiTheme="majorHAnsi"/>
          <w:color w:val="000000"/>
          <w:sz w:val="25"/>
          <w:szCs w:val="25"/>
          <w:shd w:val="clear" w:color="auto" w:fill="FFFFFF"/>
          <w:lang w:val="tr-TR"/>
        </w:rPr>
        <w:t xml:space="preserve"> </w:t>
      </w:r>
      <w:r w:rsidRPr="00510ACE">
        <w:rPr>
          <w:rStyle w:val="apple-style-span"/>
          <w:rFonts w:asciiTheme="majorHAnsi" w:hAnsiTheme="majorHAnsi"/>
          <w:color w:val="000000"/>
          <w:sz w:val="25"/>
          <w:szCs w:val="25"/>
          <w:shd w:val="clear" w:color="auto" w:fill="FFFFFF"/>
          <w:lang w:val="tr-TR"/>
        </w:rPr>
        <w:t xml:space="preserve"> </w:t>
      </w:r>
    </w:p>
    <w:p w:rsidR="00510ACE" w:rsidRPr="00510ACE" w:rsidRDefault="00510ACE" w:rsidP="00510ACE">
      <w:pPr>
        <w:spacing w:before="240" w:after="120" w:line="240" w:lineRule="auto"/>
        <w:jc w:val="both"/>
        <w:rPr>
          <w:rStyle w:val="apple-style-span"/>
          <w:rFonts w:ascii="Arial Narrow" w:hAnsi="Arial Narrow"/>
          <w:b/>
          <w:color w:val="000000"/>
          <w:sz w:val="28"/>
          <w:szCs w:val="28"/>
          <w:shd w:val="clear" w:color="auto" w:fill="FFFFFF"/>
          <w:lang w:val="tr-TR"/>
        </w:rPr>
      </w:pPr>
      <w:r w:rsidRPr="00510ACE">
        <w:rPr>
          <w:rStyle w:val="apple-style-span"/>
          <w:rFonts w:ascii="Arial Narrow" w:hAnsi="Arial Narrow"/>
          <w:b/>
          <w:color w:val="000000"/>
          <w:sz w:val="28"/>
          <w:szCs w:val="28"/>
          <w:shd w:val="clear" w:color="auto" w:fill="FFFFFF"/>
          <w:lang w:val="tr-TR"/>
        </w:rPr>
        <w:t>SONUÇ</w:t>
      </w:r>
    </w:p>
    <w:p w:rsidR="00510ACE" w:rsidRDefault="00510ACE" w:rsidP="00510ACE">
      <w:pPr>
        <w:spacing w:beforeLines="20" w:before="48" w:afterLines="20" w:after="48" w:line="240" w:lineRule="auto"/>
        <w:jc w:val="both"/>
        <w:rPr>
          <w:rFonts w:asciiTheme="majorHAnsi" w:hAnsiTheme="majorHAnsi"/>
          <w:sz w:val="25"/>
          <w:szCs w:val="25"/>
          <w:lang w:val="tr-TR"/>
        </w:rPr>
      </w:pPr>
      <w:r w:rsidRPr="00510ACE">
        <w:rPr>
          <w:rStyle w:val="apple-style-span"/>
          <w:rFonts w:asciiTheme="majorHAnsi" w:hAnsiTheme="majorHAnsi"/>
          <w:color w:val="000000"/>
          <w:sz w:val="25"/>
          <w:szCs w:val="25"/>
          <w:shd w:val="clear" w:color="auto" w:fill="FFFFFF"/>
          <w:lang w:val="tr-TR"/>
        </w:rPr>
        <w:t>Enflasyondaki hareketler doğrudan doğruya alım gücüne etki eden bir role sahip. K</w:t>
      </w:r>
      <w:r w:rsidRPr="00510ACE">
        <w:rPr>
          <w:rFonts w:asciiTheme="majorHAnsi" w:hAnsiTheme="majorHAnsi"/>
          <w:sz w:val="25"/>
          <w:szCs w:val="25"/>
          <w:lang w:val="tr-TR"/>
        </w:rPr>
        <w:t xml:space="preserve">işinin kendi yaptığı harcama kalemlerindeki fiyat artışları (enflasyonu) ile resmi Tüketici Fiyat Endeksi arasındaki fark istatistiklere yansımayan bir yoksulluğa neden olmaktadır. Aynı zamanda sepete her yıl müdahaleye olanak tanıyan yöntem, sonuçların güvenilirliği açısından soru işaretlerine neden olmaktadır. </w:t>
      </w:r>
    </w:p>
    <w:p w:rsidR="00510ACE" w:rsidRPr="00510ACE" w:rsidRDefault="00510ACE" w:rsidP="00510ACE">
      <w:pPr>
        <w:spacing w:beforeLines="20" w:before="48" w:afterLines="20" w:after="48" w:line="240" w:lineRule="auto"/>
        <w:jc w:val="both"/>
        <w:rPr>
          <w:rFonts w:asciiTheme="majorHAnsi" w:hAnsiTheme="majorHAnsi"/>
          <w:color w:val="000000"/>
          <w:sz w:val="25"/>
          <w:szCs w:val="25"/>
          <w:shd w:val="clear" w:color="auto" w:fill="FFFFFF"/>
          <w:lang w:val="tr-TR"/>
        </w:rPr>
      </w:pPr>
      <w:r w:rsidRPr="00510ACE">
        <w:rPr>
          <w:rFonts w:asciiTheme="majorHAnsi" w:hAnsiTheme="majorHAnsi"/>
          <w:sz w:val="25"/>
          <w:szCs w:val="25"/>
          <w:lang w:val="tr-TR"/>
        </w:rPr>
        <w:lastRenderedPageBreak/>
        <w:t>Dar gelirli için ağırlığı son derece önemli olan kira ve gıdanın, sepetteki ağırlığının sistematik olarak azalması enflasyon verileri üzerinden yaşanan tartışmaları artırmaktadır. Ayrıca yüksek enflasyonlu günlere geri dönüş yaşandığı bu dönemde ücret kayıpları derhal giderilmelidir. Bu nedenle;</w:t>
      </w:r>
    </w:p>
    <w:p w:rsidR="00510ACE" w:rsidRPr="00510ACE" w:rsidRDefault="00510ACE" w:rsidP="00510ACE">
      <w:pPr>
        <w:pStyle w:val="NormalWeb"/>
        <w:numPr>
          <w:ilvl w:val="0"/>
          <w:numId w:val="15"/>
        </w:numPr>
        <w:spacing w:before="120" w:beforeAutospacing="0" w:afterLines="20" w:after="48" w:afterAutospacing="0"/>
        <w:ind w:left="714" w:hanging="357"/>
        <w:jc w:val="both"/>
        <w:rPr>
          <w:rFonts w:asciiTheme="majorHAnsi" w:hAnsiTheme="majorHAnsi"/>
          <w:color w:val="000000"/>
          <w:sz w:val="25"/>
          <w:szCs w:val="25"/>
          <w:shd w:val="clear" w:color="auto" w:fill="FFFFFF"/>
        </w:rPr>
      </w:pPr>
      <w:r w:rsidRPr="00510ACE">
        <w:rPr>
          <w:rFonts w:asciiTheme="majorHAnsi" w:hAnsiTheme="majorHAnsi"/>
          <w:color w:val="000000"/>
          <w:sz w:val="25"/>
          <w:szCs w:val="25"/>
          <w:shd w:val="clear" w:color="auto" w:fill="FFFFFF"/>
        </w:rPr>
        <w:t>Ücret artışlarında dar gelirlileri dikkate alınacak ayrı bir endeks oluşturulmalıdır.</w:t>
      </w:r>
    </w:p>
    <w:p w:rsidR="00510ACE" w:rsidRPr="00510ACE" w:rsidRDefault="00510ACE" w:rsidP="00510ACE">
      <w:pPr>
        <w:pStyle w:val="NormalWeb"/>
        <w:numPr>
          <w:ilvl w:val="0"/>
          <w:numId w:val="15"/>
        </w:numPr>
        <w:spacing w:beforeLines="20" w:before="48" w:beforeAutospacing="0" w:afterLines="20" w:after="48" w:afterAutospacing="0"/>
        <w:jc w:val="both"/>
        <w:rPr>
          <w:rFonts w:asciiTheme="majorHAnsi" w:hAnsiTheme="majorHAnsi"/>
          <w:color w:val="000000"/>
          <w:sz w:val="25"/>
          <w:szCs w:val="25"/>
          <w:shd w:val="clear" w:color="auto" w:fill="FFFFFF"/>
        </w:rPr>
      </w:pPr>
      <w:r w:rsidRPr="00510ACE">
        <w:rPr>
          <w:rFonts w:asciiTheme="majorHAnsi" w:hAnsiTheme="majorHAnsi"/>
          <w:color w:val="000000"/>
          <w:sz w:val="25"/>
          <w:szCs w:val="25"/>
          <w:shd w:val="clear" w:color="auto" w:fill="FFFFFF"/>
        </w:rPr>
        <w:t xml:space="preserve">Toplum tarafından yaygın olarak kullanılmadığı halde, yüksek değer taşıdığı için enflasyonu önemi oranda etkileyen ürünlerin mal sepetindeki ağırlığı gözden geçirilmeli, teknolojik gelişmeye koşut olarak fiyatları sürekli olarak gerileyen ürünler, sepetten çıkartılmalıdır. </w:t>
      </w:r>
    </w:p>
    <w:p w:rsidR="00510ACE" w:rsidRPr="00510ACE" w:rsidRDefault="00510ACE" w:rsidP="00510ACE">
      <w:pPr>
        <w:pStyle w:val="NormalWeb"/>
        <w:numPr>
          <w:ilvl w:val="0"/>
          <w:numId w:val="15"/>
        </w:numPr>
        <w:spacing w:beforeLines="20" w:before="48" w:beforeAutospacing="0" w:afterLines="20" w:after="48" w:afterAutospacing="0"/>
        <w:jc w:val="both"/>
        <w:rPr>
          <w:rFonts w:asciiTheme="majorHAnsi" w:hAnsiTheme="majorHAnsi"/>
          <w:color w:val="000000"/>
          <w:sz w:val="25"/>
          <w:szCs w:val="25"/>
          <w:shd w:val="clear" w:color="auto" w:fill="FFFFFF"/>
        </w:rPr>
      </w:pPr>
      <w:r w:rsidRPr="00510ACE">
        <w:rPr>
          <w:rFonts w:asciiTheme="majorHAnsi" w:hAnsiTheme="majorHAnsi"/>
          <w:color w:val="000000"/>
          <w:sz w:val="25"/>
          <w:szCs w:val="25"/>
          <w:shd w:val="clear" w:color="auto" w:fill="FFFFFF"/>
        </w:rPr>
        <w:t xml:space="preserve">Her türlü sübjektif müdahaleye açık olan yıllık sepet değişiminden vaz geçilmeli. Sepetteki değişiklikler 5’er yıllık dönemler halinde gerçekleştirilmelidir. </w:t>
      </w:r>
    </w:p>
    <w:p w:rsidR="00510ACE" w:rsidRPr="00510ACE" w:rsidRDefault="00510ACE" w:rsidP="00510ACE">
      <w:pPr>
        <w:pStyle w:val="NormalWeb"/>
        <w:numPr>
          <w:ilvl w:val="0"/>
          <w:numId w:val="15"/>
        </w:numPr>
        <w:spacing w:beforeLines="20" w:before="48" w:beforeAutospacing="0" w:afterLines="20" w:after="48" w:afterAutospacing="0"/>
        <w:jc w:val="both"/>
        <w:rPr>
          <w:rFonts w:asciiTheme="majorHAnsi" w:hAnsiTheme="majorHAnsi"/>
          <w:color w:val="000000"/>
          <w:sz w:val="25"/>
          <w:szCs w:val="25"/>
          <w:shd w:val="clear" w:color="auto" w:fill="FFFFFF"/>
        </w:rPr>
      </w:pPr>
      <w:r w:rsidRPr="00510ACE">
        <w:rPr>
          <w:rFonts w:asciiTheme="majorHAnsi" w:hAnsiTheme="majorHAnsi"/>
          <w:color w:val="000000"/>
          <w:sz w:val="25"/>
          <w:szCs w:val="25"/>
          <w:shd w:val="clear" w:color="auto" w:fill="FFFFFF"/>
        </w:rPr>
        <w:t>İstatistik konseyinin kapsamı genişletilerek emek örgütlerinin katılımı ve denetimi sağlanmalıdır.</w:t>
      </w:r>
    </w:p>
    <w:p w:rsidR="00510ACE" w:rsidRPr="00510ACE" w:rsidRDefault="00510ACE" w:rsidP="00510ACE">
      <w:pPr>
        <w:pStyle w:val="NormalWeb"/>
        <w:numPr>
          <w:ilvl w:val="0"/>
          <w:numId w:val="15"/>
        </w:numPr>
        <w:spacing w:beforeLines="20" w:before="48" w:beforeAutospacing="0" w:afterLines="20" w:after="48" w:afterAutospacing="0"/>
        <w:jc w:val="both"/>
        <w:rPr>
          <w:rFonts w:asciiTheme="majorHAnsi" w:hAnsiTheme="majorHAnsi"/>
          <w:color w:val="000000"/>
          <w:sz w:val="25"/>
          <w:szCs w:val="25"/>
          <w:shd w:val="clear" w:color="auto" w:fill="FFFFFF"/>
        </w:rPr>
      </w:pPr>
      <w:r w:rsidRPr="00510ACE">
        <w:rPr>
          <w:rFonts w:asciiTheme="majorHAnsi" w:hAnsiTheme="majorHAnsi"/>
          <w:color w:val="000000"/>
          <w:sz w:val="25"/>
          <w:szCs w:val="25"/>
          <w:shd w:val="clear" w:color="auto" w:fill="FFFFFF"/>
        </w:rPr>
        <w:t xml:space="preserve">Hükümetin </w:t>
      </w:r>
      <w:proofErr w:type="spellStart"/>
      <w:r w:rsidRPr="00510ACE">
        <w:rPr>
          <w:rFonts w:asciiTheme="majorHAnsi" w:hAnsiTheme="majorHAnsi"/>
          <w:color w:val="000000"/>
          <w:sz w:val="25"/>
          <w:szCs w:val="25"/>
          <w:shd w:val="clear" w:color="auto" w:fill="FFFFFF"/>
        </w:rPr>
        <w:t>TÜİK’e</w:t>
      </w:r>
      <w:proofErr w:type="spellEnd"/>
      <w:r w:rsidRPr="00510ACE">
        <w:rPr>
          <w:rFonts w:asciiTheme="majorHAnsi" w:hAnsiTheme="majorHAnsi"/>
          <w:color w:val="000000"/>
          <w:sz w:val="25"/>
          <w:szCs w:val="25"/>
          <w:shd w:val="clear" w:color="auto" w:fill="FFFFFF"/>
        </w:rPr>
        <w:t xml:space="preserve"> müdahalesi anlamına gelecek yaklaşımlardan ve söylemlerden uzak durulmalıdır.</w:t>
      </w:r>
    </w:p>
    <w:p w:rsidR="00510ACE" w:rsidRPr="00510ACE" w:rsidRDefault="00510ACE" w:rsidP="00510ACE">
      <w:pPr>
        <w:pStyle w:val="NormalWeb"/>
        <w:numPr>
          <w:ilvl w:val="0"/>
          <w:numId w:val="15"/>
        </w:numPr>
        <w:spacing w:beforeLines="20" w:before="48" w:beforeAutospacing="0" w:afterLines="20" w:after="48" w:afterAutospacing="0"/>
        <w:jc w:val="both"/>
        <w:rPr>
          <w:rFonts w:asciiTheme="majorHAnsi" w:hAnsiTheme="majorHAnsi"/>
          <w:color w:val="000000"/>
          <w:sz w:val="25"/>
          <w:szCs w:val="25"/>
          <w:shd w:val="clear" w:color="auto" w:fill="FFFFFF"/>
        </w:rPr>
      </w:pPr>
      <w:r w:rsidRPr="00510ACE">
        <w:rPr>
          <w:rFonts w:asciiTheme="majorHAnsi" w:hAnsiTheme="majorHAnsi"/>
          <w:color w:val="000000"/>
          <w:sz w:val="25"/>
          <w:szCs w:val="25"/>
          <w:shd w:val="clear" w:color="auto" w:fill="FFFFFF"/>
        </w:rPr>
        <w:t>Enflasyon hesaplamasında araştırma kapsamında belirtilen unsurlardan kaynaklı olarak yaşanan gelir kayıpları giderilmelidir.</w:t>
      </w:r>
    </w:p>
    <w:p w:rsidR="00510ACE" w:rsidRPr="00510ACE" w:rsidRDefault="00510ACE" w:rsidP="00510ACE">
      <w:pPr>
        <w:pStyle w:val="NormalWeb"/>
        <w:numPr>
          <w:ilvl w:val="0"/>
          <w:numId w:val="15"/>
        </w:numPr>
        <w:spacing w:beforeLines="20" w:before="48" w:beforeAutospacing="0" w:afterLines="20" w:after="48" w:afterAutospacing="0"/>
        <w:jc w:val="both"/>
        <w:rPr>
          <w:rStyle w:val="apple-style-span"/>
          <w:rFonts w:asciiTheme="majorHAnsi" w:eastAsia="Calibri" w:hAnsiTheme="majorHAnsi"/>
          <w:color w:val="000000"/>
          <w:sz w:val="25"/>
          <w:szCs w:val="25"/>
          <w:shd w:val="clear" w:color="auto" w:fill="FFFFFF"/>
        </w:rPr>
      </w:pPr>
      <w:r w:rsidRPr="00510ACE">
        <w:rPr>
          <w:rFonts w:asciiTheme="majorHAnsi" w:hAnsiTheme="majorHAnsi"/>
          <w:color w:val="000000"/>
          <w:sz w:val="25"/>
          <w:szCs w:val="25"/>
          <w:shd w:val="clear" w:color="auto" w:fill="FFFFFF"/>
        </w:rPr>
        <w:t xml:space="preserve">Asgari ücrete yapılan artışın enflasyon verilerinin gerisinde kalmasından kaynaklı yaşanan kayıplar derhal giderilmelidir. </w:t>
      </w:r>
    </w:p>
    <w:p w:rsidR="00510ACE" w:rsidRPr="00510ACE" w:rsidRDefault="00510ACE" w:rsidP="00510ACE">
      <w:pPr>
        <w:spacing w:before="240" w:after="120" w:line="240" w:lineRule="auto"/>
        <w:jc w:val="both"/>
        <w:rPr>
          <w:rStyle w:val="apple-style-span"/>
          <w:rFonts w:ascii="Arial Narrow" w:hAnsi="Arial Narrow"/>
          <w:b/>
          <w:color w:val="000000"/>
          <w:sz w:val="28"/>
          <w:szCs w:val="28"/>
          <w:shd w:val="clear" w:color="auto" w:fill="FFFFFF"/>
          <w:lang w:val="tr-TR"/>
        </w:rPr>
      </w:pPr>
      <w:r w:rsidRPr="00510ACE">
        <w:rPr>
          <w:rStyle w:val="apple-style-span"/>
          <w:rFonts w:ascii="Arial Narrow" w:hAnsi="Arial Narrow"/>
          <w:b/>
          <w:color w:val="000000"/>
          <w:sz w:val="28"/>
          <w:szCs w:val="28"/>
          <w:shd w:val="clear" w:color="auto" w:fill="FFFFFF"/>
          <w:lang w:val="tr-TR"/>
        </w:rPr>
        <w:t>ARAŞTIRMANIN YÖNTEMİ</w:t>
      </w:r>
    </w:p>
    <w:p w:rsidR="00510ACE" w:rsidRPr="00510ACE" w:rsidRDefault="00510ACE" w:rsidP="00510ACE">
      <w:pPr>
        <w:spacing w:beforeLines="20" w:before="48" w:afterLines="20" w:after="48" w:line="240" w:lineRule="auto"/>
        <w:jc w:val="both"/>
        <w:rPr>
          <w:rStyle w:val="apple-style-span"/>
          <w:rFonts w:asciiTheme="majorHAnsi" w:hAnsiTheme="majorHAnsi"/>
          <w:color w:val="000000"/>
          <w:sz w:val="25"/>
          <w:szCs w:val="25"/>
          <w:shd w:val="clear" w:color="auto" w:fill="FFFFFF"/>
          <w:lang w:val="tr-TR"/>
        </w:rPr>
      </w:pPr>
      <w:r w:rsidRPr="00510ACE">
        <w:rPr>
          <w:rStyle w:val="apple-style-span"/>
          <w:rFonts w:asciiTheme="majorHAnsi" w:hAnsiTheme="majorHAnsi"/>
          <w:color w:val="000000"/>
          <w:sz w:val="25"/>
          <w:szCs w:val="25"/>
          <w:shd w:val="clear" w:color="auto" w:fill="FFFFFF"/>
          <w:lang w:val="tr-TR"/>
        </w:rPr>
        <w:t>TÜİK Tüketim Harcamaları İstatistikleri ve TÜİK Tüketici Fiyat Endeksi Harcama Gruplarına Göre Endeks Sonuçları üzerinden, farklı harcama gruplarının tüketim kalıpları dikkate alınarak, enflasyon kalıpları oluşturulmakta, bu kalıp üzerinden farklı gruplara göre enflasyon verileri hesaplanmaktadır. Gizli yoksullaşma oranı resmi TÜFE verileri ile farklı gruplar için hesaplanmış enflasyon oranlarındaki fark dikkate alınarak tespit edilmektedir.</w:t>
      </w:r>
      <w:r>
        <w:rPr>
          <w:rStyle w:val="apple-style-span"/>
          <w:rFonts w:asciiTheme="majorHAnsi" w:hAnsiTheme="majorHAnsi"/>
          <w:color w:val="000000"/>
          <w:sz w:val="25"/>
          <w:szCs w:val="25"/>
          <w:shd w:val="clear" w:color="auto" w:fill="FFFFFF"/>
          <w:lang w:val="tr-TR"/>
        </w:rPr>
        <w:t xml:space="preserve"> </w:t>
      </w:r>
    </w:p>
    <w:p w:rsidR="00510ACE" w:rsidRPr="00510ACE" w:rsidRDefault="00510ACE" w:rsidP="00510ACE">
      <w:pPr>
        <w:spacing w:beforeLines="20" w:before="48" w:afterLines="20" w:after="48" w:line="240" w:lineRule="auto"/>
        <w:jc w:val="both"/>
        <w:rPr>
          <w:rStyle w:val="apple-style-span"/>
          <w:rFonts w:asciiTheme="majorHAnsi" w:hAnsiTheme="majorHAnsi"/>
          <w:color w:val="000000"/>
          <w:sz w:val="25"/>
          <w:szCs w:val="25"/>
          <w:shd w:val="clear" w:color="auto" w:fill="FFFFFF"/>
          <w:lang w:val="tr-TR"/>
        </w:rPr>
      </w:pPr>
      <w:r w:rsidRPr="00510ACE">
        <w:rPr>
          <w:rStyle w:val="apple-style-span"/>
          <w:rFonts w:asciiTheme="majorHAnsi" w:hAnsiTheme="majorHAnsi"/>
          <w:color w:val="000000"/>
          <w:sz w:val="25"/>
          <w:szCs w:val="25"/>
          <w:shd w:val="clear" w:color="auto" w:fill="FFFFFF"/>
          <w:lang w:val="tr-TR"/>
        </w:rPr>
        <w:t>Erime oranları Asgari Ücret artış oranı ile TÜİK Tüketici Fiyat Endeksi Harcama Gruplarına Göre Endeks Sonuçları üzerinden hesaplanmıştır.</w:t>
      </w:r>
    </w:p>
    <w:p w:rsidR="00510ACE" w:rsidRDefault="00510ACE" w:rsidP="00510ACE">
      <w:pPr>
        <w:spacing w:beforeLines="20" w:before="48" w:afterLines="20" w:after="48" w:line="240" w:lineRule="auto"/>
        <w:jc w:val="both"/>
        <w:rPr>
          <w:rStyle w:val="apple-style-span"/>
          <w:rFonts w:ascii="Times New Roman" w:hAnsi="Times New Roman"/>
          <w:color w:val="000000"/>
          <w:shd w:val="clear" w:color="auto" w:fill="FFFFFF"/>
        </w:rPr>
      </w:pPr>
    </w:p>
    <w:p w:rsidR="00510ACE" w:rsidRDefault="00510ACE" w:rsidP="00510ACE">
      <w:pPr>
        <w:spacing w:beforeLines="20" w:before="48" w:afterLines="20" w:after="48" w:line="240" w:lineRule="auto"/>
        <w:jc w:val="both"/>
        <w:rPr>
          <w:rStyle w:val="apple-style-span"/>
          <w:rFonts w:ascii="Times New Roman" w:hAnsi="Times New Roman"/>
          <w:color w:val="000000"/>
          <w:shd w:val="clear" w:color="auto" w:fill="FFFFFF"/>
        </w:rPr>
      </w:pPr>
    </w:p>
    <w:p w:rsidR="00510ACE" w:rsidRPr="00393557" w:rsidRDefault="00510ACE" w:rsidP="00393557">
      <w:pPr>
        <w:jc w:val="right"/>
      </w:pPr>
    </w:p>
    <w:sectPr w:rsidR="00510ACE" w:rsidRPr="00393557" w:rsidSect="00196C01">
      <w:pgSz w:w="11906" w:h="16838"/>
      <w:pgMar w:top="1134" w:right="707" w:bottom="28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43" w:usb2="00000009" w:usb3="00000000" w:csb0="000001FF" w:csb1="00000000"/>
  </w:font>
  <w:font w:name="Arial Black">
    <w:panose1 w:val="020B0A04020102020204"/>
    <w:charset w:val="A2"/>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921AE"/>
    <w:multiLevelType w:val="hybridMultilevel"/>
    <w:tmpl w:val="9C76E0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E65E39"/>
    <w:multiLevelType w:val="hybridMultilevel"/>
    <w:tmpl w:val="09A6A6DC"/>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31F5BB2"/>
    <w:multiLevelType w:val="hybridMultilevel"/>
    <w:tmpl w:val="166A37F0"/>
    <w:lvl w:ilvl="0" w:tplc="D3A01BB2">
      <w:numFmt w:val="bullet"/>
      <w:lvlText w:val=""/>
      <w:lvlJc w:val="left"/>
      <w:pPr>
        <w:ind w:left="720" w:hanging="360"/>
      </w:pPr>
      <w:rPr>
        <w:rFonts w:ascii="Symbol" w:eastAsiaTheme="minorHAns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16B134EC"/>
    <w:multiLevelType w:val="hybridMultilevel"/>
    <w:tmpl w:val="18A49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1CA779AF"/>
    <w:multiLevelType w:val="hybridMultilevel"/>
    <w:tmpl w:val="1B76FE7C"/>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5" w15:restartNumberingAfterBreak="0">
    <w:nsid w:val="226A0095"/>
    <w:multiLevelType w:val="hybridMultilevel"/>
    <w:tmpl w:val="006C6A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D217DE2"/>
    <w:multiLevelType w:val="hybridMultilevel"/>
    <w:tmpl w:val="44E44E1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39EC54D1"/>
    <w:multiLevelType w:val="hybridMultilevel"/>
    <w:tmpl w:val="04429E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430674F1"/>
    <w:multiLevelType w:val="hybridMultilevel"/>
    <w:tmpl w:val="3A5AF0C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9" w15:restartNumberingAfterBreak="0">
    <w:nsid w:val="505333D8"/>
    <w:multiLevelType w:val="hybridMultilevel"/>
    <w:tmpl w:val="44A0328A"/>
    <w:lvl w:ilvl="0" w:tplc="2F066BC8">
      <w:numFmt w:val="bullet"/>
      <w:lvlText w:val="·"/>
      <w:lvlJc w:val="left"/>
      <w:pPr>
        <w:ind w:left="1143" w:hanging="576"/>
      </w:pPr>
      <w:rPr>
        <w:rFonts w:ascii="Arial Narrow" w:eastAsia="Times New Roman" w:hAnsi="Arial Narrow" w:cs="Segoe UI"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0" w15:restartNumberingAfterBreak="0">
    <w:nsid w:val="50CC73D1"/>
    <w:multiLevelType w:val="hybridMultilevel"/>
    <w:tmpl w:val="3A345B3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15:restartNumberingAfterBreak="0">
    <w:nsid w:val="52141437"/>
    <w:multiLevelType w:val="hybridMultilevel"/>
    <w:tmpl w:val="4E84B3C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2" w15:restartNumberingAfterBreak="0">
    <w:nsid w:val="59FD08C6"/>
    <w:multiLevelType w:val="hybridMultilevel"/>
    <w:tmpl w:val="660A18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14247D1"/>
    <w:multiLevelType w:val="hybridMultilevel"/>
    <w:tmpl w:val="BDF4D17C"/>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4" w15:restartNumberingAfterBreak="0">
    <w:nsid w:val="733D41C0"/>
    <w:multiLevelType w:val="hybridMultilevel"/>
    <w:tmpl w:val="3DB6F256"/>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7"/>
  </w:num>
  <w:num w:numId="4">
    <w:abstractNumId w:val="13"/>
  </w:num>
  <w:num w:numId="5">
    <w:abstractNumId w:val="12"/>
  </w:num>
  <w:num w:numId="6">
    <w:abstractNumId w:val="0"/>
  </w:num>
  <w:num w:numId="7">
    <w:abstractNumId w:val="6"/>
  </w:num>
  <w:num w:numId="8">
    <w:abstractNumId w:val="8"/>
  </w:num>
  <w:num w:numId="9">
    <w:abstractNumId w:val="14"/>
  </w:num>
  <w:num w:numId="10">
    <w:abstractNumId w:val="2"/>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num>
  <w:num w:numId="15">
    <w:abstractNumId w:val="1"/>
  </w:num>
  <w:num w:numId="16">
    <w:abstractNumId w:val="3"/>
  </w:num>
  <w:num w:numId="17">
    <w:abstractNumId w:val="9"/>
  </w:num>
  <w:num w:numId="18">
    <w:abstractNumId w:val="1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3DE"/>
    <w:rsid w:val="00005CAA"/>
    <w:rsid w:val="00006F68"/>
    <w:rsid w:val="00015C1C"/>
    <w:rsid w:val="00017C81"/>
    <w:rsid w:val="00023D18"/>
    <w:rsid w:val="00026E60"/>
    <w:rsid w:val="00035EF6"/>
    <w:rsid w:val="000435F1"/>
    <w:rsid w:val="00054FDB"/>
    <w:rsid w:val="0005581B"/>
    <w:rsid w:val="0006161E"/>
    <w:rsid w:val="000836FD"/>
    <w:rsid w:val="00096E88"/>
    <w:rsid w:val="000A3B52"/>
    <w:rsid w:val="000A6C46"/>
    <w:rsid w:val="000D348A"/>
    <w:rsid w:val="000D3C19"/>
    <w:rsid w:val="000D56E9"/>
    <w:rsid w:val="00132346"/>
    <w:rsid w:val="001339D5"/>
    <w:rsid w:val="0015189D"/>
    <w:rsid w:val="0016484A"/>
    <w:rsid w:val="0018037A"/>
    <w:rsid w:val="00196C01"/>
    <w:rsid w:val="001A324E"/>
    <w:rsid w:val="001A6BCD"/>
    <w:rsid w:val="001D3EDA"/>
    <w:rsid w:val="001D6903"/>
    <w:rsid w:val="001E44F9"/>
    <w:rsid w:val="001F666D"/>
    <w:rsid w:val="00202CB4"/>
    <w:rsid w:val="002030FC"/>
    <w:rsid w:val="002136E5"/>
    <w:rsid w:val="002160C2"/>
    <w:rsid w:val="00216239"/>
    <w:rsid w:val="00230F0D"/>
    <w:rsid w:val="00241F53"/>
    <w:rsid w:val="002503DE"/>
    <w:rsid w:val="00252046"/>
    <w:rsid w:val="002615B9"/>
    <w:rsid w:val="002637DC"/>
    <w:rsid w:val="00265AC8"/>
    <w:rsid w:val="00272659"/>
    <w:rsid w:val="00274427"/>
    <w:rsid w:val="0028022B"/>
    <w:rsid w:val="0028189C"/>
    <w:rsid w:val="00284A66"/>
    <w:rsid w:val="002B2409"/>
    <w:rsid w:val="002D19EC"/>
    <w:rsid w:val="002D1ED7"/>
    <w:rsid w:val="002E5BE9"/>
    <w:rsid w:val="002E7263"/>
    <w:rsid w:val="002F3F3A"/>
    <w:rsid w:val="0031044E"/>
    <w:rsid w:val="0031119C"/>
    <w:rsid w:val="00311CBD"/>
    <w:rsid w:val="00314536"/>
    <w:rsid w:val="00321121"/>
    <w:rsid w:val="003346EE"/>
    <w:rsid w:val="00335A76"/>
    <w:rsid w:val="003370DB"/>
    <w:rsid w:val="00341605"/>
    <w:rsid w:val="00344814"/>
    <w:rsid w:val="003657EB"/>
    <w:rsid w:val="00381C50"/>
    <w:rsid w:val="00390317"/>
    <w:rsid w:val="00393557"/>
    <w:rsid w:val="00395BC8"/>
    <w:rsid w:val="003A38F3"/>
    <w:rsid w:val="003A552A"/>
    <w:rsid w:val="003B0A88"/>
    <w:rsid w:val="003B2949"/>
    <w:rsid w:val="003B64E0"/>
    <w:rsid w:val="003C28A9"/>
    <w:rsid w:val="003D0B97"/>
    <w:rsid w:val="003E443F"/>
    <w:rsid w:val="003E62BE"/>
    <w:rsid w:val="003F2A33"/>
    <w:rsid w:val="003F4733"/>
    <w:rsid w:val="00403BF0"/>
    <w:rsid w:val="004046F3"/>
    <w:rsid w:val="004151D6"/>
    <w:rsid w:val="0044183C"/>
    <w:rsid w:val="004436B3"/>
    <w:rsid w:val="00444601"/>
    <w:rsid w:val="004518B2"/>
    <w:rsid w:val="004538D8"/>
    <w:rsid w:val="00462097"/>
    <w:rsid w:val="00465623"/>
    <w:rsid w:val="00476AE2"/>
    <w:rsid w:val="00484FD3"/>
    <w:rsid w:val="00496E65"/>
    <w:rsid w:val="00497A55"/>
    <w:rsid w:val="004C2F5C"/>
    <w:rsid w:val="004C46F3"/>
    <w:rsid w:val="004D180E"/>
    <w:rsid w:val="004D34BB"/>
    <w:rsid w:val="004E088B"/>
    <w:rsid w:val="004F111B"/>
    <w:rsid w:val="00510ACE"/>
    <w:rsid w:val="005134AD"/>
    <w:rsid w:val="0051441A"/>
    <w:rsid w:val="00521115"/>
    <w:rsid w:val="00524D59"/>
    <w:rsid w:val="00547B9D"/>
    <w:rsid w:val="0056000D"/>
    <w:rsid w:val="00560C5F"/>
    <w:rsid w:val="00571C0D"/>
    <w:rsid w:val="00573DC0"/>
    <w:rsid w:val="00583CF6"/>
    <w:rsid w:val="005B363E"/>
    <w:rsid w:val="005F553C"/>
    <w:rsid w:val="005F64A6"/>
    <w:rsid w:val="00613254"/>
    <w:rsid w:val="00616B5F"/>
    <w:rsid w:val="006262C1"/>
    <w:rsid w:val="00631AE8"/>
    <w:rsid w:val="00635561"/>
    <w:rsid w:val="00641B3C"/>
    <w:rsid w:val="00647839"/>
    <w:rsid w:val="0066454F"/>
    <w:rsid w:val="00665685"/>
    <w:rsid w:val="006756EC"/>
    <w:rsid w:val="00694DDB"/>
    <w:rsid w:val="006B359D"/>
    <w:rsid w:val="006B3645"/>
    <w:rsid w:val="006C2E74"/>
    <w:rsid w:val="006C5B3F"/>
    <w:rsid w:val="006C74FD"/>
    <w:rsid w:val="006E6D46"/>
    <w:rsid w:val="007028C8"/>
    <w:rsid w:val="00702960"/>
    <w:rsid w:val="007038CB"/>
    <w:rsid w:val="00704E43"/>
    <w:rsid w:val="00705E20"/>
    <w:rsid w:val="00706650"/>
    <w:rsid w:val="00707D03"/>
    <w:rsid w:val="00721FD5"/>
    <w:rsid w:val="00730884"/>
    <w:rsid w:val="0073245B"/>
    <w:rsid w:val="007343D0"/>
    <w:rsid w:val="00736DD5"/>
    <w:rsid w:val="00740120"/>
    <w:rsid w:val="00747588"/>
    <w:rsid w:val="007505A6"/>
    <w:rsid w:val="007539F7"/>
    <w:rsid w:val="007616E9"/>
    <w:rsid w:val="007819F3"/>
    <w:rsid w:val="00793FB7"/>
    <w:rsid w:val="007975FA"/>
    <w:rsid w:val="007A33A2"/>
    <w:rsid w:val="007C37EB"/>
    <w:rsid w:val="007C7FE2"/>
    <w:rsid w:val="007E1C2E"/>
    <w:rsid w:val="007E6C1A"/>
    <w:rsid w:val="007F4117"/>
    <w:rsid w:val="00815A4E"/>
    <w:rsid w:val="00826195"/>
    <w:rsid w:val="008331A6"/>
    <w:rsid w:val="0088474B"/>
    <w:rsid w:val="00884905"/>
    <w:rsid w:val="00897B20"/>
    <w:rsid w:val="008A508F"/>
    <w:rsid w:val="008A6BCC"/>
    <w:rsid w:val="008B05B5"/>
    <w:rsid w:val="008D32D9"/>
    <w:rsid w:val="008E2533"/>
    <w:rsid w:val="008F1E70"/>
    <w:rsid w:val="00911198"/>
    <w:rsid w:val="0091585E"/>
    <w:rsid w:val="00915A92"/>
    <w:rsid w:val="0092001C"/>
    <w:rsid w:val="00920903"/>
    <w:rsid w:val="00934479"/>
    <w:rsid w:val="0093747B"/>
    <w:rsid w:val="009423F5"/>
    <w:rsid w:val="00951D3A"/>
    <w:rsid w:val="00967924"/>
    <w:rsid w:val="00970A06"/>
    <w:rsid w:val="00983F9D"/>
    <w:rsid w:val="00986C4E"/>
    <w:rsid w:val="00995002"/>
    <w:rsid w:val="009A117B"/>
    <w:rsid w:val="009A764B"/>
    <w:rsid w:val="009C0C85"/>
    <w:rsid w:val="009E034F"/>
    <w:rsid w:val="009E11A1"/>
    <w:rsid w:val="009E5348"/>
    <w:rsid w:val="009F1DF3"/>
    <w:rsid w:val="00A10313"/>
    <w:rsid w:val="00A12AAD"/>
    <w:rsid w:val="00A1703B"/>
    <w:rsid w:val="00A5368A"/>
    <w:rsid w:val="00A54A80"/>
    <w:rsid w:val="00A5693D"/>
    <w:rsid w:val="00A5775B"/>
    <w:rsid w:val="00A57AA7"/>
    <w:rsid w:val="00A67A44"/>
    <w:rsid w:val="00A76DEE"/>
    <w:rsid w:val="00A80143"/>
    <w:rsid w:val="00A834E2"/>
    <w:rsid w:val="00A94368"/>
    <w:rsid w:val="00AC404E"/>
    <w:rsid w:val="00AD6D0E"/>
    <w:rsid w:val="00AE108A"/>
    <w:rsid w:val="00AE7E3D"/>
    <w:rsid w:val="00B01270"/>
    <w:rsid w:val="00B04F14"/>
    <w:rsid w:val="00B05F24"/>
    <w:rsid w:val="00B1020B"/>
    <w:rsid w:val="00B320D8"/>
    <w:rsid w:val="00B448E6"/>
    <w:rsid w:val="00B44F5B"/>
    <w:rsid w:val="00B54156"/>
    <w:rsid w:val="00B55F17"/>
    <w:rsid w:val="00B61DCD"/>
    <w:rsid w:val="00B822B5"/>
    <w:rsid w:val="00B82F9B"/>
    <w:rsid w:val="00B836EB"/>
    <w:rsid w:val="00BB0208"/>
    <w:rsid w:val="00BC3611"/>
    <w:rsid w:val="00BD19F0"/>
    <w:rsid w:val="00BD5B11"/>
    <w:rsid w:val="00BD62F5"/>
    <w:rsid w:val="00BD6A01"/>
    <w:rsid w:val="00BE6D99"/>
    <w:rsid w:val="00C002DD"/>
    <w:rsid w:val="00C035C1"/>
    <w:rsid w:val="00C042E4"/>
    <w:rsid w:val="00C048B6"/>
    <w:rsid w:val="00C1557C"/>
    <w:rsid w:val="00C40D67"/>
    <w:rsid w:val="00C4269E"/>
    <w:rsid w:val="00C448B8"/>
    <w:rsid w:val="00C71762"/>
    <w:rsid w:val="00C71E63"/>
    <w:rsid w:val="00C92532"/>
    <w:rsid w:val="00C96427"/>
    <w:rsid w:val="00CD20DD"/>
    <w:rsid w:val="00CD2E6B"/>
    <w:rsid w:val="00CD3C8E"/>
    <w:rsid w:val="00CE36C3"/>
    <w:rsid w:val="00CF64F2"/>
    <w:rsid w:val="00CF6EBB"/>
    <w:rsid w:val="00D0733F"/>
    <w:rsid w:val="00D14147"/>
    <w:rsid w:val="00D37095"/>
    <w:rsid w:val="00D42669"/>
    <w:rsid w:val="00D4428C"/>
    <w:rsid w:val="00D51B00"/>
    <w:rsid w:val="00D5651E"/>
    <w:rsid w:val="00D62DEB"/>
    <w:rsid w:val="00D67AF2"/>
    <w:rsid w:val="00D82A03"/>
    <w:rsid w:val="00D83DE8"/>
    <w:rsid w:val="00D8606A"/>
    <w:rsid w:val="00D86AB1"/>
    <w:rsid w:val="00D900DD"/>
    <w:rsid w:val="00D9012C"/>
    <w:rsid w:val="00D943CE"/>
    <w:rsid w:val="00D94EB9"/>
    <w:rsid w:val="00DA0A03"/>
    <w:rsid w:val="00DB1F5F"/>
    <w:rsid w:val="00DC2F17"/>
    <w:rsid w:val="00DD0E6F"/>
    <w:rsid w:val="00DD6BB5"/>
    <w:rsid w:val="00DF2F33"/>
    <w:rsid w:val="00E07047"/>
    <w:rsid w:val="00E23C54"/>
    <w:rsid w:val="00E30D77"/>
    <w:rsid w:val="00E4170C"/>
    <w:rsid w:val="00E50BF2"/>
    <w:rsid w:val="00E64069"/>
    <w:rsid w:val="00E940A8"/>
    <w:rsid w:val="00E97808"/>
    <w:rsid w:val="00EB33D4"/>
    <w:rsid w:val="00EB4CDB"/>
    <w:rsid w:val="00EB67A6"/>
    <w:rsid w:val="00ED4049"/>
    <w:rsid w:val="00EE3DE9"/>
    <w:rsid w:val="00EE6535"/>
    <w:rsid w:val="00EF1FC3"/>
    <w:rsid w:val="00F0720F"/>
    <w:rsid w:val="00F1256E"/>
    <w:rsid w:val="00F21BF7"/>
    <w:rsid w:val="00F21D10"/>
    <w:rsid w:val="00F30BDA"/>
    <w:rsid w:val="00F37C37"/>
    <w:rsid w:val="00F57296"/>
    <w:rsid w:val="00F72910"/>
    <w:rsid w:val="00F83692"/>
    <w:rsid w:val="00F878BD"/>
    <w:rsid w:val="00FA1CEB"/>
    <w:rsid w:val="00FB0697"/>
    <w:rsid w:val="00FE148E"/>
    <w:rsid w:val="00FE3CEC"/>
    <w:rsid w:val="00FE53C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20832B-5A8D-4C1D-9879-66746D342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3DE"/>
    <w:rPr>
      <w:rFonts w:ascii="Cambria" w:eastAsia="Calibri" w:hAnsi="Cambria" w:cs="Times New Roman"/>
      <w:lang w:val="en-US" w:bidi="en-US"/>
    </w:rPr>
  </w:style>
  <w:style w:type="paragraph" w:styleId="Balk1">
    <w:name w:val="heading 1"/>
    <w:basedOn w:val="Normal"/>
    <w:next w:val="Normal"/>
    <w:link w:val="Balk1Char"/>
    <w:uiPriority w:val="9"/>
    <w:qFormat/>
    <w:rsid w:val="00DD6B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5">
    <w:name w:val="heading 5"/>
    <w:basedOn w:val="Normal"/>
    <w:next w:val="Normal"/>
    <w:link w:val="Balk5Char"/>
    <w:uiPriority w:val="9"/>
    <w:qFormat/>
    <w:rsid w:val="002503DE"/>
    <w:pPr>
      <w:spacing w:after="0" w:line="271" w:lineRule="auto"/>
      <w:outlineLvl w:val="4"/>
    </w:pPr>
    <w:rPr>
      <w:i/>
      <w:iCs/>
      <w:sz w:val="24"/>
      <w:szCs w:val="24"/>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2503DE"/>
    <w:rPr>
      <w:rFonts w:ascii="Cambria" w:eastAsia="Calibri" w:hAnsi="Cambria" w:cs="Times New Roman"/>
      <w:i/>
      <w:iCs/>
      <w:sz w:val="24"/>
      <w:szCs w:val="24"/>
      <w:lang w:eastAsia="tr-TR"/>
    </w:rPr>
  </w:style>
  <w:style w:type="paragraph" w:styleId="BalonMetni">
    <w:name w:val="Balloon Text"/>
    <w:basedOn w:val="Normal"/>
    <w:link w:val="BalonMetniChar"/>
    <w:uiPriority w:val="99"/>
    <w:semiHidden/>
    <w:unhideWhenUsed/>
    <w:rsid w:val="002503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503DE"/>
    <w:rPr>
      <w:rFonts w:ascii="Tahoma" w:eastAsia="Calibri" w:hAnsi="Tahoma" w:cs="Tahoma"/>
      <w:sz w:val="16"/>
      <w:szCs w:val="16"/>
      <w:lang w:val="en-US" w:bidi="en-US"/>
    </w:rPr>
  </w:style>
  <w:style w:type="paragraph" w:styleId="ListeParagraf">
    <w:name w:val="List Paragraph"/>
    <w:basedOn w:val="Normal"/>
    <w:uiPriority w:val="34"/>
    <w:qFormat/>
    <w:rsid w:val="00A67A44"/>
    <w:pPr>
      <w:ind w:left="720"/>
      <w:contextualSpacing/>
    </w:pPr>
  </w:style>
  <w:style w:type="character" w:customStyle="1" w:styleId="apple-converted-space">
    <w:name w:val="apple-converted-space"/>
    <w:basedOn w:val="VarsaylanParagrafYazTipi"/>
    <w:rsid w:val="00967924"/>
  </w:style>
  <w:style w:type="paragraph" w:styleId="NormalWeb">
    <w:name w:val="Normal (Web)"/>
    <w:basedOn w:val="Normal"/>
    <w:uiPriority w:val="99"/>
    <w:unhideWhenUsed/>
    <w:rsid w:val="00A12AAD"/>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styleId="Kpr">
    <w:name w:val="Hyperlink"/>
    <w:basedOn w:val="VarsaylanParagrafYazTipi"/>
    <w:uiPriority w:val="99"/>
    <w:unhideWhenUsed/>
    <w:rsid w:val="00F878BD"/>
    <w:rPr>
      <w:color w:val="0000FF"/>
      <w:u w:val="single"/>
    </w:rPr>
  </w:style>
  <w:style w:type="paragraph" w:customStyle="1" w:styleId="basicparagraph">
    <w:name w:val="basicparagraph"/>
    <w:basedOn w:val="Normal"/>
    <w:rsid w:val="0092001C"/>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apple-style-span">
    <w:name w:val="apple-style-span"/>
    <w:basedOn w:val="VarsaylanParagrafYazTipi"/>
    <w:rsid w:val="00571C0D"/>
  </w:style>
  <w:style w:type="character" w:styleId="Gl">
    <w:name w:val="Strong"/>
    <w:basedOn w:val="VarsaylanParagrafYazTipi"/>
    <w:uiPriority w:val="22"/>
    <w:qFormat/>
    <w:rsid w:val="00D86AB1"/>
    <w:rPr>
      <w:b/>
      <w:bCs/>
    </w:rPr>
  </w:style>
  <w:style w:type="character" w:customStyle="1" w:styleId="Balk1Char">
    <w:name w:val="Başlık 1 Char"/>
    <w:basedOn w:val="VarsaylanParagrafYazTipi"/>
    <w:link w:val="Balk1"/>
    <w:uiPriority w:val="9"/>
    <w:rsid w:val="00DD6BB5"/>
    <w:rPr>
      <w:rFonts w:asciiTheme="majorHAnsi" w:eastAsiaTheme="majorEastAsia" w:hAnsiTheme="majorHAnsi" w:cstheme="majorBidi"/>
      <w:b/>
      <w:bCs/>
      <w:color w:val="365F91" w:themeColor="accent1" w:themeShade="BF"/>
      <w:sz w:val="28"/>
      <w:szCs w:val="28"/>
      <w:lang w:val="en-US" w:bidi="en-US"/>
    </w:rPr>
  </w:style>
  <w:style w:type="paragraph" w:customStyle="1" w:styleId="metin2">
    <w:name w:val="metin2"/>
    <w:basedOn w:val="Normal"/>
    <w:rsid w:val="00A1703B"/>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styleId="KonuBal">
    <w:name w:val="Title"/>
    <w:basedOn w:val="Normal"/>
    <w:link w:val="KonuBalChar"/>
    <w:qFormat/>
    <w:rsid w:val="00FB0697"/>
    <w:pPr>
      <w:spacing w:after="0" w:line="240" w:lineRule="auto"/>
      <w:ind w:right="-119"/>
      <w:jc w:val="center"/>
    </w:pPr>
    <w:rPr>
      <w:rFonts w:ascii="Bookman Old Style" w:eastAsia="Times New Roman" w:hAnsi="Bookman Old Style"/>
      <w:b/>
      <w:i/>
      <w:szCs w:val="20"/>
      <w:lang w:val="tr-TR" w:bidi="ar-SA"/>
    </w:rPr>
  </w:style>
  <w:style w:type="character" w:customStyle="1" w:styleId="KonuBalChar">
    <w:name w:val="Konu Başlığı Char"/>
    <w:basedOn w:val="VarsaylanParagrafYazTipi"/>
    <w:link w:val="KonuBal"/>
    <w:rsid w:val="00FB0697"/>
    <w:rPr>
      <w:rFonts w:ascii="Bookman Old Style" w:eastAsia="Times New Roman" w:hAnsi="Bookman Old Style" w:cs="Times New Roman"/>
      <w:b/>
      <w:i/>
      <w:szCs w:val="20"/>
    </w:rPr>
  </w:style>
  <w:style w:type="character" w:styleId="Vurgu">
    <w:name w:val="Emphasis"/>
    <w:basedOn w:val="VarsaylanParagrafYazTipi"/>
    <w:uiPriority w:val="20"/>
    <w:qFormat/>
    <w:rsid w:val="003B0A88"/>
    <w:rPr>
      <w:i/>
      <w:iCs/>
    </w:rPr>
  </w:style>
  <w:style w:type="paragraph" w:customStyle="1" w:styleId="xmsonormal">
    <w:name w:val="x_msonormal"/>
    <w:basedOn w:val="Normal"/>
    <w:rsid w:val="0044183C"/>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customStyle="1" w:styleId="xgmail-msolistparagraph">
    <w:name w:val="x_gmail-msolistparagraph"/>
    <w:basedOn w:val="Normal"/>
    <w:rsid w:val="00484FD3"/>
    <w:pPr>
      <w:spacing w:before="100" w:beforeAutospacing="1" w:after="100" w:afterAutospacing="1" w:line="240" w:lineRule="auto"/>
    </w:pPr>
    <w:rPr>
      <w:rFonts w:ascii="Times New Roman" w:eastAsia="Times New Roman" w:hAnsi="Times New Roman"/>
      <w:sz w:val="24"/>
      <w:szCs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70871">
      <w:bodyDiv w:val="1"/>
      <w:marLeft w:val="0"/>
      <w:marRight w:val="0"/>
      <w:marTop w:val="0"/>
      <w:marBottom w:val="0"/>
      <w:divBdr>
        <w:top w:val="none" w:sz="0" w:space="0" w:color="auto"/>
        <w:left w:val="none" w:sz="0" w:space="0" w:color="auto"/>
        <w:bottom w:val="none" w:sz="0" w:space="0" w:color="auto"/>
        <w:right w:val="none" w:sz="0" w:space="0" w:color="auto"/>
      </w:divBdr>
    </w:div>
    <w:div w:id="90442771">
      <w:bodyDiv w:val="1"/>
      <w:marLeft w:val="0"/>
      <w:marRight w:val="0"/>
      <w:marTop w:val="0"/>
      <w:marBottom w:val="0"/>
      <w:divBdr>
        <w:top w:val="none" w:sz="0" w:space="0" w:color="auto"/>
        <w:left w:val="none" w:sz="0" w:space="0" w:color="auto"/>
        <w:bottom w:val="none" w:sz="0" w:space="0" w:color="auto"/>
        <w:right w:val="none" w:sz="0" w:space="0" w:color="auto"/>
      </w:divBdr>
    </w:div>
    <w:div w:id="179778539">
      <w:bodyDiv w:val="1"/>
      <w:marLeft w:val="0"/>
      <w:marRight w:val="0"/>
      <w:marTop w:val="0"/>
      <w:marBottom w:val="0"/>
      <w:divBdr>
        <w:top w:val="none" w:sz="0" w:space="0" w:color="auto"/>
        <w:left w:val="none" w:sz="0" w:space="0" w:color="auto"/>
        <w:bottom w:val="none" w:sz="0" w:space="0" w:color="auto"/>
        <w:right w:val="none" w:sz="0" w:space="0" w:color="auto"/>
      </w:divBdr>
    </w:div>
    <w:div w:id="307319622">
      <w:bodyDiv w:val="1"/>
      <w:marLeft w:val="0"/>
      <w:marRight w:val="0"/>
      <w:marTop w:val="0"/>
      <w:marBottom w:val="0"/>
      <w:divBdr>
        <w:top w:val="none" w:sz="0" w:space="0" w:color="auto"/>
        <w:left w:val="none" w:sz="0" w:space="0" w:color="auto"/>
        <w:bottom w:val="none" w:sz="0" w:space="0" w:color="auto"/>
        <w:right w:val="none" w:sz="0" w:space="0" w:color="auto"/>
      </w:divBdr>
    </w:div>
    <w:div w:id="323167532">
      <w:bodyDiv w:val="1"/>
      <w:marLeft w:val="0"/>
      <w:marRight w:val="0"/>
      <w:marTop w:val="0"/>
      <w:marBottom w:val="0"/>
      <w:divBdr>
        <w:top w:val="none" w:sz="0" w:space="0" w:color="auto"/>
        <w:left w:val="none" w:sz="0" w:space="0" w:color="auto"/>
        <w:bottom w:val="none" w:sz="0" w:space="0" w:color="auto"/>
        <w:right w:val="none" w:sz="0" w:space="0" w:color="auto"/>
      </w:divBdr>
    </w:div>
    <w:div w:id="326250082">
      <w:bodyDiv w:val="1"/>
      <w:marLeft w:val="0"/>
      <w:marRight w:val="0"/>
      <w:marTop w:val="0"/>
      <w:marBottom w:val="0"/>
      <w:divBdr>
        <w:top w:val="none" w:sz="0" w:space="0" w:color="auto"/>
        <w:left w:val="none" w:sz="0" w:space="0" w:color="auto"/>
        <w:bottom w:val="none" w:sz="0" w:space="0" w:color="auto"/>
        <w:right w:val="none" w:sz="0" w:space="0" w:color="auto"/>
      </w:divBdr>
    </w:div>
    <w:div w:id="386536511">
      <w:bodyDiv w:val="1"/>
      <w:marLeft w:val="0"/>
      <w:marRight w:val="0"/>
      <w:marTop w:val="0"/>
      <w:marBottom w:val="0"/>
      <w:divBdr>
        <w:top w:val="none" w:sz="0" w:space="0" w:color="auto"/>
        <w:left w:val="none" w:sz="0" w:space="0" w:color="auto"/>
        <w:bottom w:val="none" w:sz="0" w:space="0" w:color="auto"/>
        <w:right w:val="none" w:sz="0" w:space="0" w:color="auto"/>
      </w:divBdr>
    </w:div>
    <w:div w:id="407459770">
      <w:bodyDiv w:val="1"/>
      <w:marLeft w:val="0"/>
      <w:marRight w:val="0"/>
      <w:marTop w:val="0"/>
      <w:marBottom w:val="0"/>
      <w:divBdr>
        <w:top w:val="none" w:sz="0" w:space="0" w:color="auto"/>
        <w:left w:val="none" w:sz="0" w:space="0" w:color="auto"/>
        <w:bottom w:val="none" w:sz="0" w:space="0" w:color="auto"/>
        <w:right w:val="none" w:sz="0" w:space="0" w:color="auto"/>
      </w:divBdr>
    </w:div>
    <w:div w:id="465511402">
      <w:bodyDiv w:val="1"/>
      <w:marLeft w:val="0"/>
      <w:marRight w:val="0"/>
      <w:marTop w:val="0"/>
      <w:marBottom w:val="0"/>
      <w:divBdr>
        <w:top w:val="none" w:sz="0" w:space="0" w:color="auto"/>
        <w:left w:val="none" w:sz="0" w:space="0" w:color="auto"/>
        <w:bottom w:val="none" w:sz="0" w:space="0" w:color="auto"/>
        <w:right w:val="none" w:sz="0" w:space="0" w:color="auto"/>
      </w:divBdr>
      <w:divsChild>
        <w:div w:id="1772356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295807">
      <w:bodyDiv w:val="1"/>
      <w:marLeft w:val="0"/>
      <w:marRight w:val="0"/>
      <w:marTop w:val="0"/>
      <w:marBottom w:val="0"/>
      <w:divBdr>
        <w:top w:val="none" w:sz="0" w:space="0" w:color="auto"/>
        <w:left w:val="none" w:sz="0" w:space="0" w:color="auto"/>
        <w:bottom w:val="none" w:sz="0" w:space="0" w:color="auto"/>
        <w:right w:val="none" w:sz="0" w:space="0" w:color="auto"/>
      </w:divBdr>
      <w:divsChild>
        <w:div w:id="1292512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195524">
              <w:marLeft w:val="0"/>
              <w:marRight w:val="0"/>
              <w:marTop w:val="0"/>
              <w:marBottom w:val="0"/>
              <w:divBdr>
                <w:top w:val="none" w:sz="0" w:space="0" w:color="auto"/>
                <w:left w:val="none" w:sz="0" w:space="0" w:color="auto"/>
                <w:bottom w:val="none" w:sz="0" w:space="0" w:color="auto"/>
                <w:right w:val="none" w:sz="0" w:space="0" w:color="auto"/>
              </w:divBdr>
              <w:divsChild>
                <w:div w:id="790978619">
                  <w:marLeft w:val="0"/>
                  <w:marRight w:val="0"/>
                  <w:marTop w:val="0"/>
                  <w:marBottom w:val="0"/>
                  <w:divBdr>
                    <w:top w:val="none" w:sz="0" w:space="0" w:color="auto"/>
                    <w:left w:val="none" w:sz="0" w:space="0" w:color="auto"/>
                    <w:bottom w:val="none" w:sz="0" w:space="0" w:color="auto"/>
                    <w:right w:val="none" w:sz="0" w:space="0" w:color="auto"/>
                  </w:divBdr>
                  <w:divsChild>
                    <w:div w:id="10007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401093">
      <w:bodyDiv w:val="1"/>
      <w:marLeft w:val="0"/>
      <w:marRight w:val="0"/>
      <w:marTop w:val="0"/>
      <w:marBottom w:val="0"/>
      <w:divBdr>
        <w:top w:val="none" w:sz="0" w:space="0" w:color="auto"/>
        <w:left w:val="none" w:sz="0" w:space="0" w:color="auto"/>
        <w:bottom w:val="none" w:sz="0" w:space="0" w:color="auto"/>
        <w:right w:val="none" w:sz="0" w:space="0" w:color="auto"/>
      </w:divBdr>
    </w:div>
    <w:div w:id="646786390">
      <w:bodyDiv w:val="1"/>
      <w:marLeft w:val="0"/>
      <w:marRight w:val="0"/>
      <w:marTop w:val="0"/>
      <w:marBottom w:val="0"/>
      <w:divBdr>
        <w:top w:val="none" w:sz="0" w:space="0" w:color="auto"/>
        <w:left w:val="none" w:sz="0" w:space="0" w:color="auto"/>
        <w:bottom w:val="none" w:sz="0" w:space="0" w:color="auto"/>
        <w:right w:val="none" w:sz="0" w:space="0" w:color="auto"/>
      </w:divBdr>
    </w:div>
    <w:div w:id="803276509">
      <w:bodyDiv w:val="1"/>
      <w:marLeft w:val="0"/>
      <w:marRight w:val="0"/>
      <w:marTop w:val="0"/>
      <w:marBottom w:val="0"/>
      <w:divBdr>
        <w:top w:val="none" w:sz="0" w:space="0" w:color="auto"/>
        <w:left w:val="none" w:sz="0" w:space="0" w:color="auto"/>
        <w:bottom w:val="none" w:sz="0" w:space="0" w:color="auto"/>
        <w:right w:val="none" w:sz="0" w:space="0" w:color="auto"/>
      </w:divBdr>
    </w:div>
    <w:div w:id="865826120">
      <w:bodyDiv w:val="1"/>
      <w:marLeft w:val="0"/>
      <w:marRight w:val="0"/>
      <w:marTop w:val="0"/>
      <w:marBottom w:val="0"/>
      <w:divBdr>
        <w:top w:val="none" w:sz="0" w:space="0" w:color="auto"/>
        <w:left w:val="none" w:sz="0" w:space="0" w:color="auto"/>
        <w:bottom w:val="none" w:sz="0" w:space="0" w:color="auto"/>
        <w:right w:val="none" w:sz="0" w:space="0" w:color="auto"/>
      </w:divBdr>
    </w:div>
    <w:div w:id="1168911507">
      <w:bodyDiv w:val="1"/>
      <w:marLeft w:val="0"/>
      <w:marRight w:val="0"/>
      <w:marTop w:val="0"/>
      <w:marBottom w:val="0"/>
      <w:divBdr>
        <w:top w:val="none" w:sz="0" w:space="0" w:color="auto"/>
        <w:left w:val="none" w:sz="0" w:space="0" w:color="auto"/>
        <w:bottom w:val="none" w:sz="0" w:space="0" w:color="auto"/>
        <w:right w:val="none" w:sz="0" w:space="0" w:color="auto"/>
      </w:divBdr>
    </w:div>
    <w:div w:id="1202547712">
      <w:bodyDiv w:val="1"/>
      <w:marLeft w:val="0"/>
      <w:marRight w:val="0"/>
      <w:marTop w:val="0"/>
      <w:marBottom w:val="0"/>
      <w:divBdr>
        <w:top w:val="none" w:sz="0" w:space="0" w:color="auto"/>
        <w:left w:val="none" w:sz="0" w:space="0" w:color="auto"/>
        <w:bottom w:val="none" w:sz="0" w:space="0" w:color="auto"/>
        <w:right w:val="none" w:sz="0" w:space="0" w:color="auto"/>
      </w:divBdr>
    </w:div>
    <w:div w:id="1254629378">
      <w:bodyDiv w:val="1"/>
      <w:marLeft w:val="0"/>
      <w:marRight w:val="0"/>
      <w:marTop w:val="0"/>
      <w:marBottom w:val="0"/>
      <w:divBdr>
        <w:top w:val="none" w:sz="0" w:space="0" w:color="auto"/>
        <w:left w:val="none" w:sz="0" w:space="0" w:color="auto"/>
        <w:bottom w:val="none" w:sz="0" w:space="0" w:color="auto"/>
        <w:right w:val="none" w:sz="0" w:space="0" w:color="auto"/>
      </w:divBdr>
    </w:div>
    <w:div w:id="1257592912">
      <w:bodyDiv w:val="1"/>
      <w:marLeft w:val="0"/>
      <w:marRight w:val="0"/>
      <w:marTop w:val="0"/>
      <w:marBottom w:val="0"/>
      <w:divBdr>
        <w:top w:val="none" w:sz="0" w:space="0" w:color="auto"/>
        <w:left w:val="none" w:sz="0" w:space="0" w:color="auto"/>
        <w:bottom w:val="none" w:sz="0" w:space="0" w:color="auto"/>
        <w:right w:val="none" w:sz="0" w:space="0" w:color="auto"/>
      </w:divBdr>
    </w:div>
    <w:div w:id="1455755275">
      <w:bodyDiv w:val="1"/>
      <w:marLeft w:val="0"/>
      <w:marRight w:val="0"/>
      <w:marTop w:val="0"/>
      <w:marBottom w:val="0"/>
      <w:divBdr>
        <w:top w:val="none" w:sz="0" w:space="0" w:color="auto"/>
        <w:left w:val="none" w:sz="0" w:space="0" w:color="auto"/>
        <w:bottom w:val="none" w:sz="0" w:space="0" w:color="auto"/>
        <w:right w:val="none" w:sz="0" w:space="0" w:color="auto"/>
      </w:divBdr>
    </w:div>
    <w:div w:id="1475223648">
      <w:bodyDiv w:val="1"/>
      <w:marLeft w:val="0"/>
      <w:marRight w:val="0"/>
      <w:marTop w:val="0"/>
      <w:marBottom w:val="0"/>
      <w:divBdr>
        <w:top w:val="none" w:sz="0" w:space="0" w:color="auto"/>
        <w:left w:val="none" w:sz="0" w:space="0" w:color="auto"/>
        <w:bottom w:val="none" w:sz="0" w:space="0" w:color="auto"/>
        <w:right w:val="none" w:sz="0" w:space="0" w:color="auto"/>
      </w:divBdr>
    </w:div>
    <w:div w:id="1476798927">
      <w:bodyDiv w:val="1"/>
      <w:marLeft w:val="0"/>
      <w:marRight w:val="0"/>
      <w:marTop w:val="0"/>
      <w:marBottom w:val="0"/>
      <w:divBdr>
        <w:top w:val="none" w:sz="0" w:space="0" w:color="auto"/>
        <w:left w:val="none" w:sz="0" w:space="0" w:color="auto"/>
        <w:bottom w:val="none" w:sz="0" w:space="0" w:color="auto"/>
        <w:right w:val="none" w:sz="0" w:space="0" w:color="auto"/>
      </w:divBdr>
    </w:div>
    <w:div w:id="1521164727">
      <w:bodyDiv w:val="1"/>
      <w:marLeft w:val="0"/>
      <w:marRight w:val="0"/>
      <w:marTop w:val="0"/>
      <w:marBottom w:val="0"/>
      <w:divBdr>
        <w:top w:val="none" w:sz="0" w:space="0" w:color="auto"/>
        <w:left w:val="none" w:sz="0" w:space="0" w:color="auto"/>
        <w:bottom w:val="none" w:sz="0" w:space="0" w:color="auto"/>
        <w:right w:val="none" w:sz="0" w:space="0" w:color="auto"/>
      </w:divBdr>
    </w:div>
    <w:div w:id="1675960308">
      <w:bodyDiv w:val="1"/>
      <w:marLeft w:val="0"/>
      <w:marRight w:val="0"/>
      <w:marTop w:val="0"/>
      <w:marBottom w:val="0"/>
      <w:divBdr>
        <w:top w:val="none" w:sz="0" w:space="0" w:color="auto"/>
        <w:left w:val="none" w:sz="0" w:space="0" w:color="auto"/>
        <w:bottom w:val="none" w:sz="0" w:space="0" w:color="auto"/>
        <w:right w:val="none" w:sz="0" w:space="0" w:color="auto"/>
      </w:divBdr>
    </w:div>
    <w:div w:id="1742023649">
      <w:bodyDiv w:val="1"/>
      <w:marLeft w:val="0"/>
      <w:marRight w:val="0"/>
      <w:marTop w:val="0"/>
      <w:marBottom w:val="0"/>
      <w:divBdr>
        <w:top w:val="none" w:sz="0" w:space="0" w:color="auto"/>
        <w:left w:val="none" w:sz="0" w:space="0" w:color="auto"/>
        <w:bottom w:val="none" w:sz="0" w:space="0" w:color="auto"/>
        <w:right w:val="none" w:sz="0" w:space="0" w:color="auto"/>
      </w:divBdr>
    </w:div>
    <w:div w:id="1901205612">
      <w:bodyDiv w:val="1"/>
      <w:marLeft w:val="0"/>
      <w:marRight w:val="0"/>
      <w:marTop w:val="0"/>
      <w:marBottom w:val="0"/>
      <w:divBdr>
        <w:top w:val="none" w:sz="0" w:space="0" w:color="auto"/>
        <w:left w:val="none" w:sz="0" w:space="0" w:color="auto"/>
        <w:bottom w:val="none" w:sz="0" w:space="0" w:color="auto"/>
        <w:right w:val="none" w:sz="0" w:space="0" w:color="auto"/>
      </w:divBdr>
    </w:div>
    <w:div w:id="1959527587">
      <w:bodyDiv w:val="1"/>
      <w:marLeft w:val="0"/>
      <w:marRight w:val="0"/>
      <w:marTop w:val="0"/>
      <w:marBottom w:val="0"/>
      <w:divBdr>
        <w:top w:val="none" w:sz="0" w:space="0" w:color="auto"/>
        <w:left w:val="none" w:sz="0" w:space="0" w:color="auto"/>
        <w:bottom w:val="none" w:sz="0" w:space="0" w:color="auto"/>
        <w:right w:val="none" w:sz="0" w:space="0" w:color="auto"/>
      </w:divBdr>
    </w:div>
    <w:div w:id="2019383532">
      <w:bodyDiv w:val="1"/>
      <w:marLeft w:val="0"/>
      <w:marRight w:val="0"/>
      <w:marTop w:val="0"/>
      <w:marBottom w:val="0"/>
      <w:divBdr>
        <w:top w:val="none" w:sz="0" w:space="0" w:color="auto"/>
        <w:left w:val="none" w:sz="0" w:space="0" w:color="auto"/>
        <w:bottom w:val="none" w:sz="0" w:space="0" w:color="auto"/>
        <w:right w:val="none" w:sz="0" w:space="0" w:color="auto"/>
      </w:divBdr>
    </w:div>
    <w:div w:id="203518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Users\benerci75\Documents\TemelEyl2016\bmis_yenidonem\BI&#775;SAM\EnflasyonRApor\Enflasyon_kalip.xls"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a:t>ASGARİ</a:t>
            </a:r>
            <a:r>
              <a:rPr lang="tr-TR" baseline="0"/>
              <a:t> ÜCRETLİNİN ALIM GÜCÜ KAYBI (%)</a:t>
            </a:r>
            <a:endParaRPr lang="tr-T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[1]Sayfa1!$G$8:$G$16</c:f>
              <c:strCache>
                <c:ptCount val="9"/>
                <c:pt idx="0">
                  <c:v>Sebze </c:v>
                </c:pt>
                <c:pt idx="1">
                  <c:v>Meyve</c:v>
                </c:pt>
                <c:pt idx="2">
                  <c:v>Et</c:v>
                </c:pt>
                <c:pt idx="3">
                  <c:v>İlaçlar</c:v>
                </c:pt>
                <c:pt idx="4">
                  <c:v>Gıda</c:v>
                </c:pt>
                <c:pt idx="5">
                  <c:v>Ulaştırma hizmetleri</c:v>
                </c:pt>
                <c:pt idx="6">
                  <c:v>Katı ve sıvı yağlar</c:v>
                </c:pt>
                <c:pt idx="7">
                  <c:v>Kira</c:v>
                </c:pt>
                <c:pt idx="8">
                  <c:v>Ekmek ve tahıllar</c:v>
                </c:pt>
              </c:strCache>
            </c:strRef>
          </c:cat>
          <c:val>
            <c:numRef>
              <c:f>[1]Sayfa1!$H$8:$H$16</c:f>
              <c:numCache>
                <c:formatCode>General</c:formatCode>
                <c:ptCount val="9"/>
                <c:pt idx="0">
                  <c:v>14.2</c:v>
                </c:pt>
                <c:pt idx="1">
                  <c:v>10.1</c:v>
                </c:pt>
                <c:pt idx="2">
                  <c:v>9.1999999999999993</c:v>
                </c:pt>
                <c:pt idx="3">
                  <c:v>7.9</c:v>
                </c:pt>
                <c:pt idx="4">
                  <c:v>5.8</c:v>
                </c:pt>
                <c:pt idx="5">
                  <c:v>2.9</c:v>
                </c:pt>
                <c:pt idx="6">
                  <c:v>2.8</c:v>
                </c:pt>
                <c:pt idx="7">
                  <c:v>0.8</c:v>
                </c:pt>
                <c:pt idx="8">
                  <c:v>0.5</c:v>
                </c:pt>
              </c:numCache>
            </c:numRef>
          </c:val>
        </c:ser>
        <c:dLbls>
          <c:showLegendKey val="0"/>
          <c:showVal val="0"/>
          <c:showCatName val="0"/>
          <c:showSerName val="0"/>
          <c:showPercent val="0"/>
          <c:showBubbleSize val="0"/>
        </c:dLbls>
        <c:gapWidth val="182"/>
        <c:axId val="336490640"/>
        <c:axId val="336491032"/>
      </c:barChart>
      <c:catAx>
        <c:axId val="3364906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36491032"/>
        <c:crosses val="autoZero"/>
        <c:auto val="1"/>
        <c:lblAlgn val="ctr"/>
        <c:lblOffset val="100"/>
        <c:noMultiLvlLbl val="0"/>
      </c:catAx>
      <c:valAx>
        <c:axId val="3364910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36490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3F6DC-E19D-46ED-A230-12FBAF669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890</Words>
  <Characters>5073</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5952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Sebo</dc:creator>
  <cp:lastModifiedBy>sebo</cp:lastModifiedBy>
  <cp:revision>3</cp:revision>
  <cp:lastPrinted>2017-02-20T08:02:00Z</cp:lastPrinted>
  <dcterms:created xsi:type="dcterms:W3CDTF">2017-07-03T11:44:00Z</dcterms:created>
  <dcterms:modified xsi:type="dcterms:W3CDTF">2017-07-03T13:17:00Z</dcterms:modified>
</cp:coreProperties>
</file>