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04482" w14:textId="77777777" w:rsidR="00B2388B" w:rsidRDefault="00B2388B" w:rsidP="008643B3">
      <w:pPr>
        <w:ind w:left="0"/>
        <w:jc w:val="center"/>
        <w:rPr>
          <w:rStyle w:val="apple-style-span"/>
          <w:rFonts w:ascii="Times New Roman" w:hAnsi="Times New Roman" w:cs="Times New Roman"/>
          <w:b/>
          <w:color w:val="000000"/>
          <w:sz w:val="28"/>
          <w:szCs w:val="28"/>
          <w:shd w:val="clear" w:color="auto" w:fill="FFFFFF"/>
        </w:rPr>
      </w:pPr>
    </w:p>
    <w:p w14:paraId="128128EA" w14:textId="77777777" w:rsidR="00B2388B" w:rsidRDefault="00B2388B" w:rsidP="008643B3">
      <w:pPr>
        <w:ind w:left="0"/>
        <w:jc w:val="center"/>
        <w:rPr>
          <w:rStyle w:val="apple-style-span"/>
          <w:rFonts w:ascii="Times New Roman" w:hAnsi="Times New Roman" w:cs="Times New Roman"/>
          <w:b/>
          <w:color w:val="000000"/>
          <w:sz w:val="28"/>
          <w:szCs w:val="28"/>
          <w:shd w:val="clear" w:color="auto" w:fill="FFFFFF"/>
        </w:rPr>
      </w:pPr>
    </w:p>
    <w:p w14:paraId="610DCDFD" w14:textId="77777777" w:rsidR="008643B3" w:rsidRDefault="00221F91" w:rsidP="008643B3">
      <w:pPr>
        <w:ind w:left="0"/>
        <w:jc w:val="center"/>
        <w:rPr>
          <w:rStyle w:val="apple-style-span"/>
          <w:rFonts w:ascii="Times New Roman" w:hAnsi="Times New Roman" w:cs="Times New Roman"/>
          <w:b/>
          <w:color w:val="000000"/>
          <w:sz w:val="28"/>
          <w:szCs w:val="28"/>
          <w:shd w:val="clear" w:color="auto" w:fill="FFFFFF"/>
        </w:rPr>
      </w:pPr>
      <w:r>
        <w:rPr>
          <w:rStyle w:val="apple-style-span"/>
          <w:rFonts w:ascii="Times New Roman" w:hAnsi="Times New Roman" w:cs="Times New Roman"/>
          <w:b/>
          <w:color w:val="000000"/>
          <w:sz w:val="28"/>
          <w:szCs w:val="28"/>
          <w:shd w:val="clear" w:color="auto" w:fill="FFFFFF"/>
        </w:rPr>
        <w:t>Birleşik Metal-İş Sendikası Sınıf Araştırmaları Merkezi</w:t>
      </w:r>
      <w:r w:rsidR="008643B3">
        <w:rPr>
          <w:rStyle w:val="apple-style-span"/>
          <w:rFonts w:ascii="Times New Roman" w:hAnsi="Times New Roman" w:cs="Times New Roman"/>
          <w:b/>
          <w:color w:val="000000"/>
          <w:sz w:val="28"/>
          <w:szCs w:val="28"/>
          <w:shd w:val="clear" w:color="auto" w:fill="FFFFFF"/>
        </w:rPr>
        <w:t xml:space="preserve"> (BİSAM)</w:t>
      </w:r>
    </w:p>
    <w:p w14:paraId="69A4504E" w14:textId="4C2D3EDC" w:rsidR="00D762DC" w:rsidRDefault="00221F91" w:rsidP="008643B3">
      <w:pPr>
        <w:ind w:left="0"/>
        <w:jc w:val="center"/>
        <w:rPr>
          <w:rStyle w:val="apple-style-span"/>
          <w:rFonts w:ascii="Times New Roman" w:hAnsi="Times New Roman" w:cs="Times New Roman"/>
          <w:b/>
          <w:color w:val="000000"/>
          <w:sz w:val="28"/>
          <w:szCs w:val="28"/>
          <w:shd w:val="clear" w:color="auto" w:fill="FFFFFF"/>
        </w:rPr>
      </w:pPr>
      <w:r>
        <w:rPr>
          <w:rStyle w:val="apple-style-span"/>
          <w:rFonts w:ascii="Times New Roman" w:hAnsi="Times New Roman" w:cs="Times New Roman"/>
          <w:b/>
          <w:color w:val="000000"/>
          <w:sz w:val="28"/>
          <w:szCs w:val="28"/>
          <w:shd w:val="clear" w:color="auto" w:fill="FFFFFF"/>
        </w:rPr>
        <w:t xml:space="preserve">Enflasyon ve </w:t>
      </w:r>
      <w:r w:rsidR="00235B3F">
        <w:rPr>
          <w:rStyle w:val="apple-style-span"/>
          <w:rFonts w:ascii="Times New Roman" w:hAnsi="Times New Roman" w:cs="Times New Roman"/>
          <w:b/>
          <w:color w:val="000000"/>
          <w:sz w:val="28"/>
          <w:szCs w:val="28"/>
          <w:shd w:val="clear" w:color="auto" w:fill="FFFFFF"/>
        </w:rPr>
        <w:t>Hayat Pahalılığı</w:t>
      </w:r>
      <w:r>
        <w:rPr>
          <w:rStyle w:val="apple-style-span"/>
          <w:rFonts w:ascii="Times New Roman" w:hAnsi="Times New Roman" w:cs="Times New Roman"/>
          <w:b/>
          <w:color w:val="000000"/>
          <w:sz w:val="28"/>
          <w:szCs w:val="28"/>
          <w:shd w:val="clear" w:color="auto" w:fill="FFFFFF"/>
        </w:rPr>
        <w:t xml:space="preserve"> </w:t>
      </w:r>
      <w:r w:rsidR="00D762DC">
        <w:rPr>
          <w:rStyle w:val="apple-style-span"/>
          <w:rFonts w:ascii="Times New Roman" w:hAnsi="Times New Roman" w:cs="Times New Roman"/>
          <w:b/>
          <w:color w:val="000000"/>
          <w:sz w:val="28"/>
          <w:szCs w:val="28"/>
          <w:shd w:val="clear" w:color="auto" w:fill="FFFFFF"/>
        </w:rPr>
        <w:t>Dönem Raporu</w:t>
      </w:r>
      <w:r w:rsidR="001402DD">
        <w:rPr>
          <w:rStyle w:val="apple-style-span"/>
          <w:rFonts w:ascii="Times New Roman" w:hAnsi="Times New Roman" w:cs="Times New Roman"/>
          <w:b/>
          <w:color w:val="000000"/>
          <w:sz w:val="28"/>
          <w:szCs w:val="28"/>
          <w:shd w:val="clear" w:color="auto" w:fill="FFFFFF"/>
        </w:rPr>
        <w:t xml:space="preserve"> (</w:t>
      </w:r>
      <w:r w:rsidR="00805BBB">
        <w:rPr>
          <w:rStyle w:val="apple-style-span"/>
          <w:rFonts w:ascii="Times New Roman" w:hAnsi="Times New Roman" w:cs="Times New Roman"/>
          <w:b/>
          <w:color w:val="000000"/>
          <w:sz w:val="28"/>
          <w:szCs w:val="28"/>
          <w:shd w:val="clear" w:color="auto" w:fill="FFFFFF"/>
        </w:rPr>
        <w:t>AĞUSTOS</w:t>
      </w:r>
      <w:r w:rsidR="00E36572">
        <w:rPr>
          <w:rStyle w:val="apple-style-span"/>
          <w:rFonts w:ascii="Times New Roman" w:hAnsi="Times New Roman" w:cs="Times New Roman"/>
          <w:b/>
          <w:color w:val="000000"/>
          <w:sz w:val="28"/>
          <w:szCs w:val="28"/>
          <w:shd w:val="clear" w:color="auto" w:fill="FFFFFF"/>
        </w:rPr>
        <w:t xml:space="preserve"> </w:t>
      </w:r>
      <w:r w:rsidR="00495F4F">
        <w:rPr>
          <w:rStyle w:val="apple-style-span"/>
          <w:rFonts w:ascii="Times New Roman" w:hAnsi="Times New Roman" w:cs="Times New Roman"/>
          <w:b/>
          <w:color w:val="000000"/>
          <w:sz w:val="28"/>
          <w:szCs w:val="28"/>
          <w:shd w:val="clear" w:color="auto" w:fill="FFFFFF"/>
        </w:rPr>
        <w:t>2017</w:t>
      </w:r>
      <w:r w:rsidR="001402DD">
        <w:rPr>
          <w:rStyle w:val="apple-style-span"/>
          <w:rFonts w:ascii="Times New Roman" w:hAnsi="Times New Roman" w:cs="Times New Roman"/>
          <w:b/>
          <w:color w:val="000000"/>
          <w:sz w:val="28"/>
          <w:szCs w:val="28"/>
          <w:shd w:val="clear" w:color="auto" w:fill="FFFFFF"/>
        </w:rPr>
        <w:t>)</w:t>
      </w:r>
    </w:p>
    <w:p w14:paraId="7C188E6A" w14:textId="000B4BE3" w:rsidR="00B2388B" w:rsidRDefault="00101E77" w:rsidP="00B2388B">
      <w:pPr>
        <w:spacing w:line="360" w:lineRule="auto"/>
        <w:ind w:left="0"/>
        <w:jc w:val="center"/>
        <w:rPr>
          <w:rStyle w:val="apple-style-span"/>
          <w:rFonts w:ascii="Times New Roman" w:hAnsi="Times New Roman" w:cs="Times New Roman"/>
          <w:b/>
          <w:color w:val="000000"/>
          <w:sz w:val="28"/>
          <w:szCs w:val="28"/>
          <w:shd w:val="clear" w:color="auto" w:fill="FFFFFF"/>
        </w:rPr>
      </w:pPr>
      <w:r>
        <w:rPr>
          <w:rStyle w:val="apple-style-span"/>
          <w:rFonts w:ascii="Times New Roman" w:hAnsi="Times New Roman" w:cs="Times New Roman"/>
          <w:b/>
          <w:color w:val="000000"/>
          <w:sz w:val="28"/>
          <w:szCs w:val="28"/>
          <w:shd w:val="clear" w:color="auto" w:fill="FFFFFF"/>
        </w:rPr>
        <w:t>0</w:t>
      </w:r>
      <w:r w:rsidR="00B740AD">
        <w:rPr>
          <w:rStyle w:val="apple-style-span"/>
          <w:rFonts w:ascii="Times New Roman" w:hAnsi="Times New Roman" w:cs="Times New Roman"/>
          <w:b/>
          <w:color w:val="000000"/>
          <w:sz w:val="28"/>
          <w:szCs w:val="28"/>
          <w:shd w:val="clear" w:color="auto" w:fill="FFFFFF"/>
        </w:rPr>
        <w:t>5</w:t>
      </w:r>
      <w:r>
        <w:rPr>
          <w:rStyle w:val="apple-style-span"/>
          <w:rFonts w:ascii="Times New Roman" w:hAnsi="Times New Roman" w:cs="Times New Roman"/>
          <w:b/>
          <w:color w:val="000000"/>
          <w:sz w:val="28"/>
          <w:szCs w:val="28"/>
          <w:shd w:val="clear" w:color="auto" w:fill="FFFFFF"/>
        </w:rPr>
        <w:t>/</w:t>
      </w:r>
      <w:r w:rsidR="0035398A">
        <w:rPr>
          <w:rStyle w:val="apple-style-span"/>
          <w:rFonts w:ascii="Times New Roman" w:hAnsi="Times New Roman" w:cs="Times New Roman"/>
          <w:b/>
          <w:color w:val="000000"/>
          <w:sz w:val="28"/>
          <w:szCs w:val="28"/>
          <w:shd w:val="clear" w:color="auto" w:fill="FFFFFF"/>
        </w:rPr>
        <w:t>0</w:t>
      </w:r>
      <w:r w:rsidR="00B740AD">
        <w:rPr>
          <w:rStyle w:val="apple-style-span"/>
          <w:rFonts w:ascii="Times New Roman" w:hAnsi="Times New Roman" w:cs="Times New Roman"/>
          <w:b/>
          <w:color w:val="000000"/>
          <w:sz w:val="28"/>
          <w:szCs w:val="28"/>
          <w:shd w:val="clear" w:color="auto" w:fill="FFFFFF"/>
        </w:rPr>
        <w:t>9</w:t>
      </w:r>
      <w:r>
        <w:rPr>
          <w:rStyle w:val="apple-style-span"/>
          <w:rFonts w:ascii="Times New Roman" w:hAnsi="Times New Roman" w:cs="Times New Roman"/>
          <w:b/>
          <w:color w:val="000000"/>
          <w:sz w:val="28"/>
          <w:szCs w:val="28"/>
          <w:shd w:val="clear" w:color="auto" w:fill="FFFFFF"/>
        </w:rPr>
        <w:t>/201</w:t>
      </w:r>
      <w:r w:rsidR="00E36572">
        <w:rPr>
          <w:rStyle w:val="apple-style-span"/>
          <w:rFonts w:ascii="Times New Roman" w:hAnsi="Times New Roman" w:cs="Times New Roman"/>
          <w:b/>
          <w:color w:val="000000"/>
          <w:sz w:val="28"/>
          <w:szCs w:val="28"/>
          <w:shd w:val="clear" w:color="auto" w:fill="FFFFFF"/>
        </w:rPr>
        <w:t>7</w:t>
      </w:r>
    </w:p>
    <w:p w14:paraId="551C7FE7" w14:textId="77777777" w:rsidR="00B2388B" w:rsidRDefault="00B2388B" w:rsidP="00B2388B">
      <w:pPr>
        <w:ind w:left="0"/>
        <w:rPr>
          <w:rStyle w:val="apple-style-span"/>
          <w:rFonts w:ascii="Times New Roman" w:hAnsi="Times New Roman" w:cs="Times New Roman"/>
          <w:b/>
          <w:color w:val="000000"/>
          <w:sz w:val="28"/>
          <w:szCs w:val="28"/>
          <w:shd w:val="clear" w:color="auto" w:fill="FFFFFF"/>
        </w:rPr>
      </w:pPr>
    </w:p>
    <w:p w14:paraId="4C6B03C1" w14:textId="77777777" w:rsidR="00B2388B" w:rsidRDefault="00B2388B" w:rsidP="00B2388B">
      <w:pPr>
        <w:ind w:left="0"/>
        <w:rPr>
          <w:rStyle w:val="apple-style-span"/>
          <w:rFonts w:ascii="Times New Roman" w:hAnsi="Times New Roman" w:cs="Times New Roman"/>
          <w:b/>
          <w:color w:val="000000"/>
          <w:sz w:val="28"/>
          <w:szCs w:val="28"/>
          <w:shd w:val="clear" w:color="auto" w:fill="FFFFFF"/>
        </w:rPr>
      </w:pPr>
    </w:p>
    <w:p w14:paraId="26824726" w14:textId="77777777" w:rsidR="00B2388B" w:rsidRDefault="00B2388B" w:rsidP="00551C0E">
      <w:pPr>
        <w:ind w:left="0"/>
        <w:jc w:val="center"/>
        <w:rPr>
          <w:rStyle w:val="apple-style-span"/>
          <w:rFonts w:ascii="Times New Roman" w:hAnsi="Times New Roman" w:cs="Times New Roman"/>
          <w:b/>
          <w:color w:val="000000"/>
          <w:sz w:val="28"/>
          <w:szCs w:val="28"/>
          <w:shd w:val="clear" w:color="auto" w:fill="FFFFFF"/>
        </w:rPr>
      </w:pPr>
    </w:p>
    <w:p w14:paraId="0CA1BE5D" w14:textId="31A506D5" w:rsidR="00F45E67" w:rsidRPr="00302EA4" w:rsidRDefault="00055903" w:rsidP="00551C0E">
      <w:pPr>
        <w:ind w:left="0"/>
        <w:jc w:val="center"/>
        <w:rPr>
          <w:rStyle w:val="apple-style-span"/>
          <w:rFonts w:ascii="Times New Roman" w:hAnsi="Times New Roman" w:cs="Times New Roman"/>
          <w:b/>
          <w:color w:val="000000"/>
          <w:sz w:val="28"/>
          <w:szCs w:val="28"/>
          <w:shd w:val="clear" w:color="auto" w:fill="FFFFFF"/>
        </w:rPr>
      </w:pPr>
      <w:r w:rsidRPr="00302EA4">
        <w:rPr>
          <w:rStyle w:val="apple-style-span"/>
          <w:rFonts w:ascii="Times New Roman" w:hAnsi="Times New Roman" w:cs="Times New Roman"/>
          <w:b/>
          <w:color w:val="000000"/>
          <w:sz w:val="28"/>
          <w:szCs w:val="28"/>
          <w:shd w:val="clear" w:color="auto" w:fill="FFFFFF"/>
        </w:rPr>
        <w:t>ASGARİ ÜCRETLİ ŞİMDİ DAHA YOKSUL</w:t>
      </w:r>
    </w:p>
    <w:p w14:paraId="6016D086" w14:textId="77777777" w:rsidR="00B2388B" w:rsidRDefault="00B2388B" w:rsidP="00473BC1">
      <w:pPr>
        <w:ind w:left="0"/>
        <w:jc w:val="center"/>
        <w:rPr>
          <w:rStyle w:val="apple-style-span"/>
          <w:rFonts w:ascii="Times New Roman" w:hAnsi="Times New Roman" w:cs="Times New Roman"/>
          <w:color w:val="000000"/>
          <w:sz w:val="24"/>
          <w:szCs w:val="24"/>
          <w:shd w:val="clear" w:color="auto" w:fill="FFFFFF"/>
        </w:rPr>
      </w:pPr>
    </w:p>
    <w:p w14:paraId="00D24324" w14:textId="63E2F370" w:rsidR="00F45E67" w:rsidRPr="00302EA4" w:rsidRDefault="00917A86" w:rsidP="00473BC1">
      <w:pPr>
        <w:ind w:left="0"/>
        <w:jc w:val="center"/>
        <w:rPr>
          <w:rStyle w:val="apple-style-span"/>
          <w:rFonts w:ascii="Times New Roman" w:hAnsi="Times New Roman" w:cs="Times New Roman"/>
          <w:color w:val="000000"/>
          <w:sz w:val="24"/>
          <w:szCs w:val="24"/>
          <w:shd w:val="clear" w:color="auto" w:fill="FFFFFF"/>
        </w:rPr>
      </w:pPr>
      <w:r w:rsidRPr="00302EA4">
        <w:rPr>
          <w:rStyle w:val="apple-style-span"/>
          <w:rFonts w:ascii="Times New Roman" w:hAnsi="Times New Roman" w:cs="Times New Roman"/>
          <w:color w:val="000000"/>
          <w:sz w:val="24"/>
          <w:szCs w:val="24"/>
          <w:shd w:val="clear" w:color="auto" w:fill="FFFFFF"/>
        </w:rPr>
        <w:t xml:space="preserve">ASGARİ ÜCRETTE </w:t>
      </w:r>
      <w:r w:rsidR="00F45E67" w:rsidRPr="00302EA4">
        <w:rPr>
          <w:rStyle w:val="apple-style-span"/>
          <w:rFonts w:ascii="Times New Roman" w:hAnsi="Times New Roman" w:cs="Times New Roman"/>
          <w:color w:val="000000"/>
          <w:sz w:val="24"/>
          <w:szCs w:val="24"/>
          <w:shd w:val="clear" w:color="auto" w:fill="FFFFFF"/>
        </w:rPr>
        <w:t xml:space="preserve">REEL KAYIP YÜZDE </w:t>
      </w:r>
      <w:r w:rsidR="000147CF" w:rsidRPr="00302EA4">
        <w:rPr>
          <w:rStyle w:val="apple-style-span"/>
          <w:rFonts w:ascii="Times New Roman" w:hAnsi="Times New Roman" w:cs="Times New Roman"/>
          <w:color w:val="000000"/>
          <w:sz w:val="24"/>
          <w:szCs w:val="24"/>
          <w:shd w:val="clear" w:color="auto" w:fill="FFFFFF"/>
        </w:rPr>
        <w:t>2,5</w:t>
      </w:r>
      <w:r w:rsidR="00F45E67" w:rsidRPr="00302EA4">
        <w:rPr>
          <w:rStyle w:val="apple-style-span"/>
          <w:rFonts w:ascii="Times New Roman" w:hAnsi="Times New Roman" w:cs="Times New Roman"/>
          <w:color w:val="000000"/>
          <w:sz w:val="24"/>
          <w:szCs w:val="24"/>
          <w:shd w:val="clear" w:color="auto" w:fill="FFFFFF"/>
        </w:rPr>
        <w:t xml:space="preserve"> SEVİYESİNDE</w:t>
      </w:r>
      <w:r w:rsidRPr="00302EA4">
        <w:rPr>
          <w:rStyle w:val="apple-style-span"/>
          <w:rFonts w:ascii="Times New Roman" w:hAnsi="Times New Roman" w:cs="Times New Roman"/>
          <w:color w:val="000000"/>
          <w:sz w:val="24"/>
          <w:szCs w:val="24"/>
          <w:shd w:val="clear" w:color="auto" w:fill="FFFFFF"/>
        </w:rPr>
        <w:t xml:space="preserve"> GERÇE</w:t>
      </w:r>
      <w:r w:rsidR="002C2955" w:rsidRPr="00302EA4">
        <w:rPr>
          <w:rStyle w:val="apple-style-span"/>
          <w:rFonts w:ascii="Times New Roman" w:hAnsi="Times New Roman" w:cs="Times New Roman"/>
          <w:color w:val="000000"/>
          <w:sz w:val="24"/>
          <w:szCs w:val="24"/>
          <w:shd w:val="clear" w:color="auto" w:fill="FFFFFF"/>
        </w:rPr>
        <w:t>K</w:t>
      </w:r>
      <w:r w:rsidRPr="00302EA4">
        <w:rPr>
          <w:rStyle w:val="apple-style-span"/>
          <w:rFonts w:ascii="Times New Roman" w:hAnsi="Times New Roman" w:cs="Times New Roman"/>
          <w:color w:val="000000"/>
          <w:sz w:val="24"/>
          <w:szCs w:val="24"/>
          <w:shd w:val="clear" w:color="auto" w:fill="FFFFFF"/>
        </w:rPr>
        <w:t>LEŞTİ</w:t>
      </w:r>
    </w:p>
    <w:p w14:paraId="664A91A0" w14:textId="77777777" w:rsidR="00B2388B" w:rsidRDefault="00B2388B" w:rsidP="00473BC1">
      <w:pPr>
        <w:ind w:left="0"/>
        <w:jc w:val="center"/>
        <w:rPr>
          <w:rStyle w:val="apple-style-span"/>
          <w:rFonts w:ascii="Times New Roman" w:hAnsi="Times New Roman" w:cs="Times New Roman"/>
          <w:color w:val="000000"/>
          <w:sz w:val="24"/>
          <w:szCs w:val="24"/>
          <w:shd w:val="clear" w:color="auto" w:fill="FFFFFF"/>
        </w:rPr>
      </w:pPr>
    </w:p>
    <w:p w14:paraId="764B34AD" w14:textId="3E30CC1B" w:rsidR="00302EA4" w:rsidRDefault="00302EA4" w:rsidP="00473BC1">
      <w:pPr>
        <w:ind w:left="0"/>
        <w:jc w:val="center"/>
        <w:rPr>
          <w:rStyle w:val="apple-style-span"/>
          <w:rFonts w:ascii="Times New Roman" w:hAnsi="Times New Roman" w:cs="Times New Roman"/>
          <w:color w:val="000000"/>
          <w:sz w:val="24"/>
          <w:szCs w:val="24"/>
          <w:shd w:val="clear" w:color="auto" w:fill="FFFFFF"/>
        </w:rPr>
      </w:pPr>
      <w:r w:rsidRPr="00302EA4">
        <w:rPr>
          <w:rStyle w:val="apple-style-span"/>
          <w:rFonts w:ascii="Times New Roman" w:hAnsi="Times New Roman" w:cs="Times New Roman"/>
          <w:color w:val="000000"/>
          <w:sz w:val="24"/>
          <w:szCs w:val="24"/>
          <w:shd w:val="clear" w:color="auto" w:fill="FFFFFF"/>
        </w:rPr>
        <w:t>ASGARİ ÜCRETLİ ALIM GÜCÜNÜ EN ÇOK GAZİANTEP, ADIYAMAN, KİLİS BÖLGESİNDE KAYBETTİ</w:t>
      </w:r>
    </w:p>
    <w:p w14:paraId="55C18502" w14:textId="77777777" w:rsidR="00B2388B" w:rsidRDefault="00B2388B" w:rsidP="00302EA4">
      <w:pPr>
        <w:ind w:left="0"/>
        <w:jc w:val="center"/>
        <w:rPr>
          <w:rStyle w:val="apple-style-span"/>
          <w:rFonts w:ascii="Times New Roman" w:hAnsi="Times New Roman" w:cs="Times New Roman"/>
          <w:color w:val="000000"/>
          <w:sz w:val="24"/>
          <w:szCs w:val="24"/>
          <w:shd w:val="clear" w:color="auto" w:fill="FFFFFF"/>
        </w:rPr>
      </w:pPr>
    </w:p>
    <w:p w14:paraId="383FFF2A" w14:textId="77777777" w:rsidR="00302EA4" w:rsidRPr="00302EA4" w:rsidRDefault="00302EA4" w:rsidP="00302EA4">
      <w:pPr>
        <w:ind w:left="0"/>
        <w:jc w:val="center"/>
        <w:rPr>
          <w:rStyle w:val="apple-style-span"/>
          <w:rFonts w:ascii="Times New Roman" w:hAnsi="Times New Roman" w:cs="Times New Roman"/>
          <w:color w:val="000000"/>
          <w:sz w:val="24"/>
          <w:szCs w:val="24"/>
          <w:shd w:val="clear" w:color="auto" w:fill="FFFFFF"/>
        </w:rPr>
      </w:pPr>
      <w:r w:rsidRPr="00302EA4">
        <w:rPr>
          <w:rStyle w:val="apple-style-span"/>
          <w:rFonts w:ascii="Times New Roman" w:hAnsi="Times New Roman" w:cs="Times New Roman"/>
          <w:color w:val="000000"/>
          <w:sz w:val="24"/>
          <w:szCs w:val="24"/>
          <w:shd w:val="clear" w:color="auto" w:fill="FFFFFF"/>
        </w:rPr>
        <w:t>GİZLİ YOKSULLAŞMA YEVMİYELİLERDE YÜZDE 10,5 OLDU</w:t>
      </w:r>
    </w:p>
    <w:p w14:paraId="63D83E81" w14:textId="77777777" w:rsidR="00917A86" w:rsidRDefault="00917A86" w:rsidP="007D5E90">
      <w:pPr>
        <w:spacing w:after="240" w:line="360" w:lineRule="auto"/>
        <w:ind w:left="0"/>
        <w:jc w:val="both"/>
        <w:rPr>
          <w:rStyle w:val="apple-style-span"/>
          <w:rFonts w:ascii="Times New Roman" w:hAnsi="Times New Roman" w:cs="Times New Roman"/>
          <w:b/>
          <w:color w:val="000000"/>
          <w:sz w:val="24"/>
          <w:szCs w:val="24"/>
          <w:shd w:val="clear" w:color="auto" w:fill="FFFFFF"/>
        </w:rPr>
      </w:pPr>
    </w:p>
    <w:p w14:paraId="407BD71C" w14:textId="77777777" w:rsidR="00B2388B" w:rsidRDefault="00B2388B" w:rsidP="007D5E90">
      <w:pPr>
        <w:spacing w:after="240" w:line="360" w:lineRule="auto"/>
        <w:ind w:left="0"/>
        <w:jc w:val="both"/>
        <w:rPr>
          <w:rStyle w:val="apple-style-span"/>
          <w:rFonts w:ascii="Times New Roman" w:hAnsi="Times New Roman" w:cs="Times New Roman"/>
          <w:b/>
          <w:color w:val="000000"/>
          <w:sz w:val="24"/>
          <w:szCs w:val="24"/>
          <w:shd w:val="clear" w:color="auto" w:fill="FFFFFF"/>
        </w:rPr>
      </w:pPr>
    </w:p>
    <w:p w14:paraId="156F3545" w14:textId="2B2B66E2" w:rsidR="00543F15" w:rsidRDefault="00277896" w:rsidP="007D5E90">
      <w:pPr>
        <w:spacing w:after="240" w:line="360" w:lineRule="auto"/>
        <w:ind w:left="0"/>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Birleşik Metal İş Sendikası Sınıf Araştırmaları Merkezi (BİSAM)</w:t>
      </w:r>
      <w:r w:rsidR="003062AC">
        <w:rPr>
          <w:rStyle w:val="apple-style-span"/>
          <w:rFonts w:ascii="Times New Roman" w:hAnsi="Times New Roman" w:cs="Times New Roman"/>
          <w:color w:val="000000"/>
          <w:sz w:val="24"/>
          <w:szCs w:val="24"/>
          <w:shd w:val="clear" w:color="auto" w:fill="FFFFFF"/>
        </w:rPr>
        <w:t xml:space="preserve"> tarafından </w:t>
      </w:r>
      <w:r w:rsidR="00C33C6F">
        <w:rPr>
          <w:rStyle w:val="apple-style-span"/>
          <w:rFonts w:ascii="Times New Roman" w:hAnsi="Times New Roman" w:cs="Times New Roman"/>
          <w:color w:val="000000"/>
          <w:sz w:val="24"/>
          <w:szCs w:val="24"/>
          <w:shd w:val="clear" w:color="auto" w:fill="FFFFFF"/>
        </w:rPr>
        <w:t xml:space="preserve">hazırlanan </w:t>
      </w:r>
      <w:r w:rsidR="003062AC">
        <w:rPr>
          <w:rStyle w:val="apple-style-span"/>
          <w:rFonts w:ascii="Times New Roman" w:hAnsi="Times New Roman" w:cs="Times New Roman"/>
          <w:color w:val="000000"/>
          <w:sz w:val="24"/>
          <w:szCs w:val="24"/>
          <w:shd w:val="clear" w:color="auto" w:fill="FFFFFF"/>
        </w:rPr>
        <w:t xml:space="preserve">Enflasyon ve Hayat Pahalılığı </w:t>
      </w:r>
      <w:r w:rsidR="000147CF">
        <w:rPr>
          <w:rStyle w:val="apple-style-span"/>
          <w:rFonts w:ascii="Times New Roman" w:hAnsi="Times New Roman" w:cs="Times New Roman"/>
          <w:color w:val="000000"/>
          <w:sz w:val="24"/>
          <w:szCs w:val="24"/>
          <w:shd w:val="clear" w:color="auto" w:fill="FFFFFF"/>
        </w:rPr>
        <w:t>Ağu</w:t>
      </w:r>
      <w:r w:rsidR="00302EA4">
        <w:rPr>
          <w:rStyle w:val="apple-style-span"/>
          <w:rFonts w:ascii="Times New Roman" w:hAnsi="Times New Roman" w:cs="Times New Roman"/>
          <w:color w:val="000000"/>
          <w:sz w:val="24"/>
          <w:szCs w:val="24"/>
          <w:shd w:val="clear" w:color="auto" w:fill="FFFFFF"/>
        </w:rPr>
        <w:t>s</w:t>
      </w:r>
      <w:r w:rsidR="000147CF">
        <w:rPr>
          <w:rStyle w:val="apple-style-span"/>
          <w:rFonts w:ascii="Times New Roman" w:hAnsi="Times New Roman" w:cs="Times New Roman"/>
          <w:color w:val="000000"/>
          <w:sz w:val="24"/>
          <w:szCs w:val="24"/>
          <w:shd w:val="clear" w:color="auto" w:fill="FFFFFF"/>
        </w:rPr>
        <w:t>tos</w:t>
      </w:r>
      <w:r w:rsidR="00E01EDF">
        <w:rPr>
          <w:rStyle w:val="apple-style-span"/>
          <w:rFonts w:ascii="Times New Roman" w:hAnsi="Times New Roman" w:cs="Times New Roman"/>
          <w:color w:val="000000"/>
          <w:sz w:val="24"/>
          <w:szCs w:val="24"/>
          <w:shd w:val="clear" w:color="auto" w:fill="FFFFFF"/>
        </w:rPr>
        <w:t xml:space="preserve"> 201</w:t>
      </w:r>
      <w:r w:rsidR="003E2931">
        <w:rPr>
          <w:rStyle w:val="apple-style-span"/>
          <w:rFonts w:ascii="Times New Roman" w:hAnsi="Times New Roman" w:cs="Times New Roman"/>
          <w:color w:val="000000"/>
          <w:sz w:val="24"/>
          <w:szCs w:val="24"/>
          <w:shd w:val="clear" w:color="auto" w:fill="FFFFFF"/>
        </w:rPr>
        <w:t>7</w:t>
      </w:r>
      <w:r w:rsidR="00E01EDF">
        <w:rPr>
          <w:rStyle w:val="apple-style-span"/>
          <w:rFonts w:ascii="Times New Roman" w:hAnsi="Times New Roman" w:cs="Times New Roman"/>
          <w:color w:val="000000"/>
          <w:sz w:val="24"/>
          <w:szCs w:val="24"/>
          <w:shd w:val="clear" w:color="auto" w:fill="FFFFFF"/>
        </w:rPr>
        <w:t xml:space="preserve"> Dönem R</w:t>
      </w:r>
      <w:r w:rsidR="003062AC">
        <w:rPr>
          <w:rStyle w:val="apple-style-span"/>
          <w:rFonts w:ascii="Times New Roman" w:hAnsi="Times New Roman" w:cs="Times New Roman"/>
          <w:color w:val="000000"/>
          <w:sz w:val="24"/>
          <w:szCs w:val="24"/>
          <w:shd w:val="clear" w:color="auto" w:fill="FFFFFF"/>
        </w:rPr>
        <w:t>aporu</w:t>
      </w:r>
      <w:r w:rsidR="00E01EDF">
        <w:rPr>
          <w:rStyle w:val="apple-style-span"/>
          <w:rFonts w:ascii="Times New Roman" w:hAnsi="Times New Roman" w:cs="Times New Roman"/>
          <w:color w:val="000000"/>
          <w:sz w:val="24"/>
          <w:szCs w:val="24"/>
          <w:shd w:val="clear" w:color="auto" w:fill="FFFFFF"/>
        </w:rPr>
        <w:t>’</w:t>
      </w:r>
      <w:r w:rsidR="003062AC">
        <w:rPr>
          <w:rStyle w:val="apple-style-span"/>
          <w:rFonts w:ascii="Times New Roman" w:hAnsi="Times New Roman" w:cs="Times New Roman"/>
          <w:color w:val="000000"/>
          <w:sz w:val="24"/>
          <w:szCs w:val="24"/>
          <w:shd w:val="clear" w:color="auto" w:fill="FFFFFF"/>
        </w:rPr>
        <w:t xml:space="preserve">nun sonuçlarına göre TÜİK tarafından </w:t>
      </w:r>
      <w:r w:rsidR="003105CC">
        <w:rPr>
          <w:rStyle w:val="apple-style-span"/>
          <w:rFonts w:ascii="Times New Roman" w:hAnsi="Times New Roman" w:cs="Times New Roman"/>
          <w:color w:val="000000"/>
          <w:sz w:val="24"/>
          <w:szCs w:val="24"/>
          <w:shd w:val="clear" w:color="auto" w:fill="FFFFFF"/>
        </w:rPr>
        <w:t xml:space="preserve">yüzde </w:t>
      </w:r>
      <w:r w:rsidR="007D5D09">
        <w:rPr>
          <w:rStyle w:val="apple-style-span"/>
          <w:rFonts w:ascii="Times New Roman" w:hAnsi="Times New Roman" w:cs="Times New Roman"/>
          <w:color w:val="000000"/>
          <w:sz w:val="24"/>
          <w:szCs w:val="24"/>
          <w:shd w:val="clear" w:color="auto" w:fill="FFFFFF"/>
        </w:rPr>
        <w:t>10,7</w:t>
      </w:r>
      <w:r w:rsidR="000147CF">
        <w:rPr>
          <w:rStyle w:val="apple-style-span"/>
          <w:rFonts w:ascii="Times New Roman" w:hAnsi="Times New Roman" w:cs="Times New Roman"/>
          <w:color w:val="000000"/>
          <w:sz w:val="24"/>
          <w:szCs w:val="24"/>
          <w:shd w:val="clear" w:color="auto" w:fill="FFFFFF"/>
        </w:rPr>
        <w:t xml:space="preserve"> </w:t>
      </w:r>
      <w:r w:rsidR="003062AC">
        <w:rPr>
          <w:rStyle w:val="apple-style-span"/>
          <w:rFonts w:ascii="Times New Roman" w:hAnsi="Times New Roman" w:cs="Times New Roman"/>
          <w:color w:val="000000"/>
          <w:sz w:val="24"/>
          <w:szCs w:val="24"/>
          <w:shd w:val="clear" w:color="auto" w:fill="FFFFFF"/>
        </w:rPr>
        <w:t xml:space="preserve">olarak açıklanan </w:t>
      </w:r>
      <w:r w:rsidR="002F3902">
        <w:rPr>
          <w:rStyle w:val="apple-style-span"/>
          <w:rFonts w:ascii="Times New Roman" w:hAnsi="Times New Roman" w:cs="Times New Roman"/>
          <w:color w:val="000000"/>
          <w:sz w:val="24"/>
          <w:szCs w:val="24"/>
          <w:shd w:val="clear" w:color="auto" w:fill="FFFFFF"/>
        </w:rPr>
        <w:t>yıllık</w:t>
      </w:r>
      <w:r w:rsidR="003062AC">
        <w:rPr>
          <w:rStyle w:val="apple-style-span"/>
          <w:rFonts w:ascii="Times New Roman" w:hAnsi="Times New Roman" w:cs="Times New Roman"/>
          <w:color w:val="000000"/>
          <w:sz w:val="24"/>
          <w:szCs w:val="24"/>
          <w:shd w:val="clear" w:color="auto" w:fill="FFFFFF"/>
        </w:rPr>
        <w:t xml:space="preserve"> Tük</w:t>
      </w:r>
      <w:r w:rsidR="00641F45">
        <w:rPr>
          <w:rStyle w:val="apple-style-span"/>
          <w:rFonts w:ascii="Times New Roman" w:hAnsi="Times New Roman" w:cs="Times New Roman"/>
          <w:color w:val="000000"/>
          <w:sz w:val="24"/>
          <w:szCs w:val="24"/>
          <w:shd w:val="clear" w:color="auto" w:fill="FFFFFF"/>
        </w:rPr>
        <w:t xml:space="preserve">etici Fiyat Endeksi’ndeki artış pek çok gelir grubu için </w:t>
      </w:r>
      <w:proofErr w:type="gramStart"/>
      <w:r w:rsidR="000147CF">
        <w:rPr>
          <w:rStyle w:val="apple-style-span"/>
          <w:rFonts w:ascii="Times New Roman" w:hAnsi="Times New Roman" w:cs="Times New Roman"/>
          <w:color w:val="000000"/>
          <w:sz w:val="24"/>
          <w:szCs w:val="24"/>
          <w:shd w:val="clear" w:color="auto" w:fill="FFFFFF"/>
        </w:rPr>
        <w:t>% 11</w:t>
      </w:r>
      <w:proofErr w:type="gramEnd"/>
      <w:r w:rsidR="000147CF">
        <w:rPr>
          <w:rStyle w:val="apple-style-span"/>
          <w:rFonts w:ascii="Times New Roman" w:hAnsi="Times New Roman" w:cs="Times New Roman"/>
          <w:color w:val="000000"/>
          <w:sz w:val="24"/>
          <w:szCs w:val="24"/>
          <w:shd w:val="clear" w:color="auto" w:fill="FFFFFF"/>
        </w:rPr>
        <w:t>’in üzerinde gerçekleşti.</w:t>
      </w:r>
      <w:r w:rsidR="00641F45">
        <w:rPr>
          <w:rStyle w:val="apple-style-span"/>
          <w:rFonts w:ascii="Times New Roman" w:hAnsi="Times New Roman" w:cs="Times New Roman"/>
          <w:color w:val="000000"/>
          <w:sz w:val="24"/>
          <w:szCs w:val="24"/>
          <w:shd w:val="clear" w:color="auto" w:fill="FFFFFF"/>
        </w:rPr>
        <w:t xml:space="preserve"> Yıllık TÜFE </w:t>
      </w:r>
      <w:r w:rsidR="007D5E90">
        <w:rPr>
          <w:rStyle w:val="apple-style-span"/>
          <w:rFonts w:ascii="Times New Roman" w:hAnsi="Times New Roman" w:cs="Times New Roman"/>
          <w:color w:val="000000"/>
          <w:sz w:val="24"/>
          <w:szCs w:val="24"/>
          <w:shd w:val="clear" w:color="auto" w:fill="FFFFFF"/>
        </w:rPr>
        <w:t>kendi hesabına çalışanlar</w:t>
      </w:r>
      <w:r w:rsidR="003062AC">
        <w:rPr>
          <w:rStyle w:val="apple-style-span"/>
          <w:rFonts w:ascii="Times New Roman" w:hAnsi="Times New Roman" w:cs="Times New Roman"/>
          <w:color w:val="000000"/>
          <w:sz w:val="24"/>
          <w:szCs w:val="24"/>
          <w:shd w:val="clear" w:color="auto" w:fill="FFFFFF"/>
        </w:rPr>
        <w:t xml:space="preserve"> için </w:t>
      </w:r>
      <w:r w:rsidR="00F06125">
        <w:rPr>
          <w:rStyle w:val="apple-style-span"/>
          <w:rFonts w:ascii="Times New Roman" w:hAnsi="Times New Roman" w:cs="Times New Roman"/>
          <w:color w:val="000000"/>
          <w:sz w:val="24"/>
          <w:szCs w:val="24"/>
          <w:shd w:val="clear" w:color="auto" w:fill="FFFFFF"/>
        </w:rPr>
        <w:t xml:space="preserve">yüzde </w:t>
      </w:r>
      <w:r w:rsidR="007D5D09">
        <w:rPr>
          <w:rStyle w:val="apple-style-span"/>
          <w:rFonts w:ascii="Times New Roman" w:hAnsi="Times New Roman" w:cs="Times New Roman"/>
          <w:color w:val="000000"/>
          <w:sz w:val="24"/>
          <w:szCs w:val="24"/>
          <w:shd w:val="clear" w:color="auto" w:fill="FFFFFF"/>
        </w:rPr>
        <w:t>11,2</w:t>
      </w:r>
      <w:r w:rsidR="00020057">
        <w:rPr>
          <w:rStyle w:val="apple-style-span"/>
          <w:rFonts w:ascii="Times New Roman" w:hAnsi="Times New Roman" w:cs="Times New Roman"/>
          <w:color w:val="000000"/>
          <w:sz w:val="24"/>
          <w:szCs w:val="24"/>
          <w:shd w:val="clear" w:color="auto" w:fill="FFFFFF"/>
        </w:rPr>
        <w:t>,</w:t>
      </w:r>
      <w:r w:rsidR="003105CC">
        <w:rPr>
          <w:rStyle w:val="apple-style-span"/>
          <w:rFonts w:ascii="Times New Roman" w:hAnsi="Times New Roman" w:cs="Times New Roman"/>
          <w:color w:val="000000"/>
          <w:sz w:val="24"/>
          <w:szCs w:val="24"/>
          <w:shd w:val="clear" w:color="auto" w:fill="FFFFFF"/>
        </w:rPr>
        <w:t xml:space="preserve"> </w:t>
      </w:r>
      <w:r w:rsidR="00641F45">
        <w:rPr>
          <w:rStyle w:val="apple-style-span"/>
          <w:rFonts w:ascii="Times New Roman" w:hAnsi="Times New Roman" w:cs="Times New Roman"/>
          <w:color w:val="000000"/>
          <w:sz w:val="24"/>
          <w:szCs w:val="24"/>
          <w:shd w:val="clear" w:color="auto" w:fill="FFFFFF"/>
        </w:rPr>
        <w:t>ücretsiz aile işçilerinde</w:t>
      </w:r>
      <w:r w:rsidR="003315E4">
        <w:rPr>
          <w:rStyle w:val="apple-style-span"/>
          <w:rFonts w:ascii="Times New Roman" w:hAnsi="Times New Roman" w:cs="Times New Roman"/>
          <w:color w:val="000000"/>
          <w:sz w:val="24"/>
          <w:szCs w:val="24"/>
          <w:shd w:val="clear" w:color="auto" w:fill="FFFFFF"/>
        </w:rPr>
        <w:t xml:space="preserve"> yüzde </w:t>
      </w:r>
      <w:r w:rsidR="007D5D09">
        <w:rPr>
          <w:rStyle w:val="apple-style-span"/>
          <w:rFonts w:ascii="Times New Roman" w:hAnsi="Times New Roman" w:cs="Times New Roman"/>
          <w:color w:val="000000"/>
          <w:sz w:val="24"/>
          <w:szCs w:val="24"/>
          <w:shd w:val="clear" w:color="auto" w:fill="FFFFFF"/>
        </w:rPr>
        <w:t>11</w:t>
      </w:r>
      <w:r w:rsidR="0035398A">
        <w:rPr>
          <w:rStyle w:val="apple-style-span"/>
          <w:rFonts w:ascii="Times New Roman" w:hAnsi="Times New Roman" w:cs="Times New Roman"/>
          <w:color w:val="000000"/>
          <w:sz w:val="24"/>
          <w:szCs w:val="24"/>
          <w:shd w:val="clear" w:color="auto" w:fill="FFFFFF"/>
        </w:rPr>
        <w:t>,</w:t>
      </w:r>
      <w:r w:rsidR="00F45E67">
        <w:rPr>
          <w:rStyle w:val="apple-style-span"/>
          <w:rFonts w:ascii="Times New Roman" w:hAnsi="Times New Roman" w:cs="Times New Roman"/>
          <w:color w:val="000000"/>
          <w:sz w:val="24"/>
          <w:szCs w:val="24"/>
          <w:shd w:val="clear" w:color="auto" w:fill="FFFFFF"/>
        </w:rPr>
        <w:t>3</w:t>
      </w:r>
      <w:r w:rsidR="003105CC">
        <w:rPr>
          <w:rStyle w:val="apple-style-span"/>
          <w:rFonts w:ascii="Times New Roman" w:hAnsi="Times New Roman" w:cs="Times New Roman"/>
          <w:color w:val="000000"/>
          <w:sz w:val="24"/>
          <w:szCs w:val="24"/>
          <w:shd w:val="clear" w:color="auto" w:fill="FFFFFF"/>
        </w:rPr>
        <w:t xml:space="preserve"> olarak gerçekleşti</w:t>
      </w:r>
      <w:r w:rsidR="003062AC">
        <w:rPr>
          <w:rStyle w:val="apple-style-span"/>
          <w:rFonts w:ascii="Times New Roman" w:hAnsi="Times New Roman" w:cs="Times New Roman"/>
          <w:color w:val="000000"/>
          <w:sz w:val="24"/>
          <w:szCs w:val="24"/>
          <w:shd w:val="clear" w:color="auto" w:fill="FFFFFF"/>
        </w:rPr>
        <w:t>.</w:t>
      </w:r>
      <w:r w:rsidR="00834437">
        <w:rPr>
          <w:rStyle w:val="apple-style-span"/>
          <w:rFonts w:ascii="Times New Roman" w:hAnsi="Times New Roman" w:cs="Times New Roman"/>
          <w:color w:val="000000"/>
          <w:sz w:val="24"/>
          <w:szCs w:val="24"/>
          <w:shd w:val="clear" w:color="auto" w:fill="FFFFFF"/>
        </w:rPr>
        <w:t xml:space="preserve"> </w:t>
      </w:r>
      <w:r w:rsidR="00641F45">
        <w:rPr>
          <w:rStyle w:val="apple-style-span"/>
          <w:rFonts w:ascii="Times New Roman" w:hAnsi="Times New Roman" w:cs="Times New Roman"/>
          <w:color w:val="000000"/>
          <w:sz w:val="24"/>
          <w:szCs w:val="24"/>
          <w:shd w:val="clear" w:color="auto" w:fill="FFFFFF"/>
        </w:rPr>
        <w:t>Pro</w:t>
      </w:r>
      <w:r w:rsidR="007D5D09">
        <w:rPr>
          <w:rStyle w:val="apple-style-span"/>
          <w:rFonts w:ascii="Times New Roman" w:hAnsi="Times New Roman" w:cs="Times New Roman"/>
          <w:color w:val="000000"/>
          <w:sz w:val="24"/>
          <w:szCs w:val="24"/>
          <w:shd w:val="clear" w:color="auto" w:fill="FFFFFF"/>
        </w:rPr>
        <w:t>fesyonel meslek grupları yüzde 11</w:t>
      </w:r>
      <w:r w:rsidR="003E3F92">
        <w:rPr>
          <w:rStyle w:val="apple-style-span"/>
          <w:rFonts w:ascii="Times New Roman" w:hAnsi="Times New Roman" w:cs="Times New Roman"/>
          <w:color w:val="000000"/>
          <w:sz w:val="24"/>
          <w:szCs w:val="24"/>
          <w:shd w:val="clear" w:color="auto" w:fill="FFFFFF"/>
        </w:rPr>
        <w:t>,4</w:t>
      </w:r>
      <w:r w:rsidR="00641F45">
        <w:rPr>
          <w:rStyle w:val="apple-style-span"/>
          <w:rFonts w:ascii="Times New Roman" w:hAnsi="Times New Roman" w:cs="Times New Roman"/>
          <w:color w:val="000000"/>
          <w:sz w:val="24"/>
          <w:szCs w:val="24"/>
          <w:shd w:val="clear" w:color="auto" w:fill="FFFFFF"/>
        </w:rPr>
        <w:t xml:space="preserve"> ile enflasyonu en fazla yaşayan grup oldu.</w:t>
      </w:r>
    </w:p>
    <w:p w14:paraId="2199C388" w14:textId="77777777" w:rsidR="00E03F17" w:rsidRDefault="001A344F" w:rsidP="007D5E90">
      <w:pPr>
        <w:spacing w:after="240" w:line="360" w:lineRule="auto"/>
        <w:ind w:left="0"/>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Enflasyon toplumun her kesimini yaptıkları harcamalara göre farklı olarak yansıyor. Örneğin gıda fiyatlarındaki artış dar gelirliyi daha fazla etkiliyor. Nitekim farklı gelir gruplarına ve statüye sahip ola</w:t>
      </w:r>
      <w:r w:rsidR="00E03F17">
        <w:rPr>
          <w:rStyle w:val="apple-style-span"/>
          <w:rFonts w:ascii="Times New Roman" w:hAnsi="Times New Roman" w:cs="Times New Roman"/>
          <w:color w:val="000000"/>
          <w:sz w:val="24"/>
          <w:szCs w:val="24"/>
          <w:shd w:val="clear" w:color="auto" w:fill="FFFFFF"/>
        </w:rPr>
        <w:t>n kesimler, fiyat atışlarını farklı düzeylerde hissediyor</w:t>
      </w:r>
      <w:r>
        <w:rPr>
          <w:rStyle w:val="apple-style-span"/>
          <w:rFonts w:ascii="Times New Roman" w:hAnsi="Times New Roman" w:cs="Times New Roman"/>
          <w:color w:val="000000"/>
          <w:sz w:val="24"/>
          <w:szCs w:val="24"/>
          <w:shd w:val="clear" w:color="auto" w:fill="FFFFFF"/>
        </w:rPr>
        <w:t>.</w:t>
      </w:r>
      <w:r w:rsidR="00E03F17">
        <w:rPr>
          <w:rStyle w:val="apple-style-span"/>
          <w:rFonts w:ascii="Times New Roman" w:hAnsi="Times New Roman" w:cs="Times New Roman"/>
          <w:color w:val="000000"/>
          <w:sz w:val="24"/>
          <w:szCs w:val="24"/>
          <w:shd w:val="clear" w:color="auto" w:fill="FFFFFF"/>
        </w:rPr>
        <w:t xml:space="preserve"> Tüm gelir grupları için tek bir Tüketici Fiyat Endeksi açıklanıyor. Bunun bir sonucu olarak yaşadığımız enflasyon resmi enflasyon ile uyumsuzluk gösteriyor. </w:t>
      </w:r>
    </w:p>
    <w:p w14:paraId="01DB27AD" w14:textId="1632B25C" w:rsidR="00302EA4" w:rsidRPr="007D5E90" w:rsidRDefault="00302EA4" w:rsidP="00302EA4">
      <w:pPr>
        <w:spacing w:after="240"/>
        <w:ind w:left="0"/>
        <w:jc w:val="both"/>
        <w:rPr>
          <w:rStyle w:val="apple-style-span"/>
          <w:rFonts w:ascii="Times New Roman" w:hAnsi="Times New Roman" w:cs="Times New Roman"/>
          <w:sz w:val="24"/>
          <w:szCs w:val="24"/>
        </w:rPr>
      </w:pPr>
      <w:r>
        <w:rPr>
          <w:rFonts w:ascii="Times New Roman" w:hAnsi="Times New Roman" w:cs="Times New Roman"/>
          <w:sz w:val="24"/>
          <w:szCs w:val="24"/>
        </w:rPr>
        <w:t xml:space="preserve">ASGARİ </w:t>
      </w:r>
      <w:r w:rsidR="00D01E00">
        <w:rPr>
          <w:rFonts w:ascii="Times New Roman" w:hAnsi="Times New Roman" w:cs="Times New Roman"/>
          <w:sz w:val="24"/>
          <w:szCs w:val="24"/>
        </w:rPr>
        <w:t>ÜCRET ERİDİ</w:t>
      </w:r>
    </w:p>
    <w:p w14:paraId="4F8DB6A4" w14:textId="3B16B23C" w:rsidR="00302EA4" w:rsidRDefault="00302EA4" w:rsidP="00302EA4">
      <w:pPr>
        <w:spacing w:after="240" w:line="360" w:lineRule="auto"/>
        <w:ind w:left="0"/>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Asgari ücret geçtiğimiz yılın aynı dönemine göre yüzde 7,9 artış göstererek AGİ (Asgari Geçim İndirimi) dâhil 1404 TL seviyesinde buna karşın</w:t>
      </w:r>
      <w:r w:rsidR="003E3F92">
        <w:rPr>
          <w:rStyle w:val="apple-style-span"/>
          <w:rFonts w:ascii="Times New Roman" w:hAnsi="Times New Roman" w:cs="Times New Roman"/>
          <w:color w:val="000000"/>
          <w:sz w:val="24"/>
          <w:szCs w:val="24"/>
          <w:shd w:val="clear" w:color="auto" w:fill="FFFFFF"/>
        </w:rPr>
        <w:t xml:space="preserve"> </w:t>
      </w:r>
      <w:proofErr w:type="gramStart"/>
      <w:r w:rsidR="003E3F92">
        <w:rPr>
          <w:rStyle w:val="apple-style-span"/>
          <w:rFonts w:ascii="Times New Roman" w:hAnsi="Times New Roman" w:cs="Times New Roman"/>
          <w:color w:val="000000"/>
          <w:sz w:val="24"/>
          <w:szCs w:val="24"/>
          <w:shd w:val="clear" w:color="auto" w:fill="FFFFFF"/>
        </w:rPr>
        <w:t>Ağustos</w:t>
      </w:r>
      <w:proofErr w:type="gramEnd"/>
      <w:r w:rsidR="003E3F92">
        <w:rPr>
          <w:rStyle w:val="apple-style-span"/>
          <w:rFonts w:ascii="Times New Roman" w:hAnsi="Times New Roman" w:cs="Times New Roman"/>
          <w:color w:val="000000"/>
          <w:sz w:val="24"/>
          <w:szCs w:val="24"/>
          <w:shd w:val="clear" w:color="auto" w:fill="FFFFFF"/>
        </w:rPr>
        <w:t xml:space="preserve"> ayı</w:t>
      </w:r>
      <w:r>
        <w:rPr>
          <w:rStyle w:val="apple-style-span"/>
          <w:rFonts w:ascii="Times New Roman" w:hAnsi="Times New Roman" w:cs="Times New Roman"/>
          <w:color w:val="000000"/>
          <w:sz w:val="24"/>
          <w:szCs w:val="24"/>
          <w:shd w:val="clear" w:color="auto" w:fill="FFFFFF"/>
        </w:rPr>
        <w:t xml:space="preserve"> enflasyon oranı resmi olarak yüzde 10,7 olarak gerçekleşti. Asgari ücret </w:t>
      </w:r>
      <w:r w:rsidR="003E3F92">
        <w:rPr>
          <w:rStyle w:val="apple-style-span"/>
          <w:rFonts w:ascii="Times New Roman" w:hAnsi="Times New Roman" w:cs="Times New Roman"/>
          <w:color w:val="000000"/>
          <w:sz w:val="24"/>
          <w:szCs w:val="24"/>
          <w:shd w:val="clear" w:color="auto" w:fill="FFFFFF"/>
        </w:rPr>
        <w:t xml:space="preserve">geçtiğimiz yılın aynı ayına göre </w:t>
      </w:r>
      <w:r>
        <w:rPr>
          <w:rStyle w:val="apple-style-span"/>
          <w:rFonts w:ascii="Times New Roman" w:hAnsi="Times New Roman" w:cs="Times New Roman"/>
          <w:color w:val="000000"/>
          <w:sz w:val="24"/>
          <w:szCs w:val="24"/>
          <w:shd w:val="clear" w:color="auto" w:fill="FFFFFF"/>
        </w:rPr>
        <w:t>enflasyon karşısın</w:t>
      </w:r>
      <w:r w:rsidR="003E3F92">
        <w:rPr>
          <w:rStyle w:val="apple-style-span"/>
          <w:rFonts w:ascii="Times New Roman" w:hAnsi="Times New Roman" w:cs="Times New Roman"/>
          <w:color w:val="000000"/>
          <w:sz w:val="24"/>
          <w:szCs w:val="24"/>
          <w:shd w:val="clear" w:color="auto" w:fill="FFFFFF"/>
        </w:rPr>
        <w:t>d</w:t>
      </w:r>
      <w:r>
        <w:rPr>
          <w:rStyle w:val="apple-style-span"/>
          <w:rFonts w:ascii="Times New Roman" w:hAnsi="Times New Roman" w:cs="Times New Roman"/>
          <w:color w:val="000000"/>
          <w:sz w:val="24"/>
          <w:szCs w:val="24"/>
          <w:shd w:val="clear" w:color="auto" w:fill="FFFFFF"/>
        </w:rPr>
        <w:t>a alım gücünü yüzde 2,5 seviyesinde kaybetti. Aylık alım g</w:t>
      </w:r>
      <w:r w:rsidR="003E3F92">
        <w:rPr>
          <w:rStyle w:val="apple-style-span"/>
          <w:rFonts w:ascii="Times New Roman" w:hAnsi="Times New Roman" w:cs="Times New Roman"/>
          <w:color w:val="000000"/>
          <w:sz w:val="24"/>
          <w:szCs w:val="24"/>
          <w:shd w:val="clear" w:color="auto" w:fill="FFFFFF"/>
        </w:rPr>
        <w:t>ücü kaybı ortalaması yılın ilk 8</w:t>
      </w:r>
      <w:r>
        <w:rPr>
          <w:rStyle w:val="apple-style-span"/>
          <w:rFonts w:ascii="Times New Roman" w:hAnsi="Times New Roman" w:cs="Times New Roman"/>
          <w:color w:val="000000"/>
          <w:sz w:val="24"/>
          <w:szCs w:val="24"/>
          <w:shd w:val="clear" w:color="auto" w:fill="FFFFFF"/>
        </w:rPr>
        <w:t xml:space="preserve"> ayı için yüzde 2,5 olarak gerçekleşti. </w:t>
      </w:r>
    </w:p>
    <w:p w14:paraId="0AA4A486" w14:textId="77777777" w:rsidR="00302EA4" w:rsidRDefault="00302EA4" w:rsidP="00302EA4">
      <w:pPr>
        <w:spacing w:after="240" w:line="276" w:lineRule="auto"/>
        <w:ind w:left="0"/>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lastRenderedPageBreak/>
        <w:t>Grafik 2- Seçilmiş Ürünlere Göre Asgari Ücrette Alım Gücü Kaybı</w:t>
      </w:r>
    </w:p>
    <w:p w14:paraId="69486538" w14:textId="2E3ABD73" w:rsidR="00302EA4" w:rsidRDefault="00D01E00" w:rsidP="00302EA4">
      <w:pPr>
        <w:spacing w:after="240" w:line="276" w:lineRule="auto"/>
        <w:ind w:left="0"/>
        <w:jc w:val="both"/>
        <w:rPr>
          <w:rStyle w:val="apple-style-span"/>
          <w:rFonts w:ascii="Times New Roman" w:hAnsi="Times New Roman" w:cs="Times New Roman"/>
          <w:color w:val="000000"/>
          <w:sz w:val="24"/>
          <w:szCs w:val="24"/>
          <w:shd w:val="clear" w:color="auto" w:fill="FFFFFF"/>
        </w:rPr>
      </w:pPr>
      <w:r>
        <w:rPr>
          <w:noProof/>
          <w:lang w:eastAsia="tr-TR"/>
        </w:rPr>
        <w:drawing>
          <wp:inline distT="0" distB="0" distL="0" distR="0" wp14:anchorId="1E82A358" wp14:editId="5C5F5355">
            <wp:extent cx="5760720" cy="4287520"/>
            <wp:effectExtent l="0" t="0" r="5080" b="508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CE7D0E" w14:textId="77777777" w:rsidR="00302EA4" w:rsidRDefault="00302EA4" w:rsidP="00302EA4">
      <w:pPr>
        <w:spacing w:after="240"/>
        <w:ind w:left="0"/>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Kaynak: TÜİK TÜFE Harcama Gruplarına Göre Endeks Sonuçları, Çalışma ve Sosyal Güvenlik Bakanlığı Asgari Ücret Verileri üzerinden tarafımızca hesaplanmıştır</w:t>
      </w:r>
    </w:p>
    <w:p w14:paraId="50A030EA" w14:textId="685C6490" w:rsidR="00302EA4" w:rsidRDefault="00302EA4" w:rsidP="00302EA4">
      <w:pPr>
        <w:spacing w:after="240" w:line="360" w:lineRule="auto"/>
        <w:ind w:left="0"/>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 xml:space="preserve">Asgari ücretli </w:t>
      </w:r>
      <w:r w:rsidR="003E3F92">
        <w:rPr>
          <w:rStyle w:val="apple-style-span"/>
          <w:rFonts w:ascii="Times New Roman" w:hAnsi="Times New Roman" w:cs="Times New Roman"/>
          <w:color w:val="000000"/>
          <w:sz w:val="24"/>
          <w:szCs w:val="24"/>
          <w:shd w:val="clear" w:color="auto" w:fill="FFFFFF"/>
        </w:rPr>
        <w:t xml:space="preserve">ürün grupları esas alındığında </w:t>
      </w:r>
      <w:r>
        <w:rPr>
          <w:rStyle w:val="apple-style-span"/>
          <w:rFonts w:ascii="Times New Roman" w:hAnsi="Times New Roman" w:cs="Times New Roman"/>
          <w:color w:val="000000"/>
          <w:sz w:val="24"/>
          <w:szCs w:val="24"/>
          <w:shd w:val="clear" w:color="auto" w:fill="FFFFFF"/>
        </w:rPr>
        <w:t xml:space="preserve">bir yıl öncesinin aynı ayına göre alım gücünü ette yüzde 7,3, ilaçta yüzde 4,5, temel hastane hizmetlerinde yüzde 2,2, sebzede yüzde 4,8, katı ve sıvı yağlarda yüzde 3,8, gerçek kirada yüzde 0,9, ekmek ve tahıllarda yüzde 1,1, süt, peynir ve yumurtada yüzde 4,3 kaybetti. </w:t>
      </w:r>
    </w:p>
    <w:p w14:paraId="2C816F01" w14:textId="77777777" w:rsidR="00302EA4" w:rsidRDefault="00302EA4" w:rsidP="00302EA4">
      <w:pPr>
        <w:spacing w:after="240" w:line="360" w:lineRule="auto"/>
        <w:ind w:left="0"/>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 xml:space="preserve">Tablo- Bölgelere göre asgari ücretlinin alım gücü kaybı </w:t>
      </w:r>
    </w:p>
    <w:tbl>
      <w:tblPr>
        <w:tblW w:w="8200" w:type="dxa"/>
        <w:tblCellMar>
          <w:left w:w="70" w:type="dxa"/>
          <w:right w:w="70" w:type="dxa"/>
        </w:tblCellMar>
        <w:tblLook w:val="04A0" w:firstRow="1" w:lastRow="0" w:firstColumn="1" w:lastColumn="0" w:noHBand="0" w:noVBand="1"/>
      </w:tblPr>
      <w:tblGrid>
        <w:gridCol w:w="4740"/>
        <w:gridCol w:w="3460"/>
      </w:tblGrid>
      <w:tr w:rsidR="00302EA4" w:rsidRPr="00D54771" w14:paraId="47B8D088"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4F81BD" w:fill="4F81BD"/>
            <w:noWrap/>
            <w:vAlign w:val="bottom"/>
            <w:hideMark/>
          </w:tcPr>
          <w:p w14:paraId="7C8C45B6" w14:textId="77777777" w:rsidR="00302EA4" w:rsidRPr="00D54771" w:rsidRDefault="00302EA4" w:rsidP="00AB7BF7">
            <w:pPr>
              <w:ind w:left="0"/>
              <w:rPr>
                <w:rFonts w:ascii="Arial" w:eastAsia="Times New Roman" w:hAnsi="Arial" w:cs="Arial"/>
                <w:b/>
                <w:bCs/>
                <w:color w:val="FFFFFF"/>
                <w:sz w:val="20"/>
                <w:szCs w:val="20"/>
                <w:lang w:eastAsia="tr-TR"/>
              </w:rPr>
            </w:pPr>
            <w:r w:rsidRPr="00D54771">
              <w:rPr>
                <w:rFonts w:ascii="Arial" w:eastAsia="Times New Roman" w:hAnsi="Arial" w:cs="Arial"/>
                <w:b/>
                <w:bCs/>
                <w:color w:val="FFFFFF"/>
                <w:sz w:val="20"/>
                <w:szCs w:val="20"/>
                <w:lang w:eastAsia="tr-TR"/>
              </w:rPr>
              <w:t>İstatistiki Bölgeler</w:t>
            </w:r>
          </w:p>
        </w:tc>
        <w:tc>
          <w:tcPr>
            <w:tcW w:w="3460" w:type="dxa"/>
            <w:tcBorders>
              <w:top w:val="single" w:sz="4" w:space="0" w:color="95B3D7"/>
              <w:left w:val="nil"/>
              <w:bottom w:val="single" w:sz="4" w:space="0" w:color="95B3D7"/>
              <w:right w:val="single" w:sz="4" w:space="0" w:color="95B3D7"/>
            </w:tcBorders>
            <w:shd w:val="clear" w:color="4F81BD" w:fill="4F81BD"/>
            <w:noWrap/>
            <w:vAlign w:val="bottom"/>
            <w:hideMark/>
          </w:tcPr>
          <w:p w14:paraId="2C5B5AD8" w14:textId="77777777" w:rsidR="00302EA4" w:rsidRPr="00D54771" w:rsidRDefault="00302EA4" w:rsidP="00AB7BF7">
            <w:pPr>
              <w:ind w:left="0"/>
              <w:rPr>
                <w:rFonts w:ascii="Arial" w:eastAsia="Times New Roman" w:hAnsi="Arial" w:cs="Arial"/>
                <w:b/>
                <w:bCs/>
                <w:color w:val="FFFFFF"/>
                <w:sz w:val="20"/>
                <w:szCs w:val="20"/>
                <w:lang w:eastAsia="tr-TR"/>
              </w:rPr>
            </w:pPr>
            <w:r w:rsidRPr="00D54771">
              <w:rPr>
                <w:rFonts w:ascii="Arial" w:eastAsia="Times New Roman" w:hAnsi="Arial" w:cs="Arial"/>
                <w:b/>
                <w:bCs/>
                <w:color w:val="FFFFFF"/>
                <w:sz w:val="20"/>
                <w:szCs w:val="20"/>
                <w:lang w:eastAsia="tr-TR"/>
              </w:rPr>
              <w:t>Asgari Ücretlinin Alım Gücü Kaybı</w:t>
            </w:r>
          </w:p>
        </w:tc>
      </w:tr>
      <w:tr w:rsidR="00302EA4" w:rsidRPr="00D54771" w14:paraId="1868C165" w14:textId="77777777" w:rsidTr="00AB7BF7">
        <w:trPr>
          <w:trHeight w:val="222"/>
        </w:trPr>
        <w:tc>
          <w:tcPr>
            <w:tcW w:w="4740" w:type="dxa"/>
            <w:tcBorders>
              <w:top w:val="single" w:sz="4" w:space="0" w:color="95B3D7"/>
              <w:left w:val="single" w:sz="4" w:space="0" w:color="95B3D7"/>
              <w:bottom w:val="single" w:sz="4" w:space="0" w:color="95B3D7"/>
              <w:right w:val="nil"/>
            </w:tcBorders>
            <w:shd w:val="clear" w:color="DCE6F1" w:fill="DCE6F1"/>
            <w:noWrap/>
            <w:vAlign w:val="bottom"/>
            <w:hideMark/>
          </w:tcPr>
          <w:p w14:paraId="1824D6DD"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TR10 (İstanbul)</w:t>
            </w:r>
          </w:p>
        </w:tc>
        <w:tc>
          <w:tcPr>
            <w:tcW w:w="3460" w:type="dxa"/>
            <w:tcBorders>
              <w:top w:val="single" w:sz="4" w:space="0" w:color="95B3D7"/>
              <w:left w:val="nil"/>
              <w:bottom w:val="single" w:sz="4" w:space="0" w:color="95B3D7"/>
              <w:right w:val="single" w:sz="4" w:space="0" w:color="95B3D7"/>
            </w:tcBorders>
            <w:shd w:val="clear" w:color="DCE6F1" w:fill="DCE6F1"/>
            <w:noWrap/>
            <w:vAlign w:val="bottom"/>
            <w:hideMark/>
          </w:tcPr>
          <w:p w14:paraId="58538D83"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2,5%</w:t>
            </w:r>
          </w:p>
        </w:tc>
      </w:tr>
      <w:tr w:rsidR="00302EA4" w:rsidRPr="00D54771" w14:paraId="366AE4D4" w14:textId="77777777" w:rsidTr="00AB7BF7">
        <w:trPr>
          <w:trHeight w:val="306"/>
        </w:trPr>
        <w:tc>
          <w:tcPr>
            <w:tcW w:w="4740" w:type="dxa"/>
            <w:tcBorders>
              <w:top w:val="single" w:sz="4" w:space="0" w:color="95B3D7"/>
              <w:left w:val="single" w:sz="4" w:space="0" w:color="95B3D7"/>
              <w:bottom w:val="single" w:sz="4" w:space="0" w:color="95B3D7"/>
              <w:right w:val="nil"/>
            </w:tcBorders>
            <w:shd w:val="clear" w:color="auto" w:fill="auto"/>
            <w:noWrap/>
            <w:vAlign w:val="bottom"/>
            <w:hideMark/>
          </w:tcPr>
          <w:p w14:paraId="05CFFB43"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TR21 (Tekirdağ, Edirne, Kırklareli)</w:t>
            </w:r>
          </w:p>
        </w:tc>
        <w:tc>
          <w:tcPr>
            <w:tcW w:w="3460" w:type="dxa"/>
            <w:tcBorders>
              <w:top w:val="single" w:sz="4" w:space="0" w:color="95B3D7"/>
              <w:left w:val="nil"/>
              <w:bottom w:val="single" w:sz="4" w:space="0" w:color="95B3D7"/>
              <w:right w:val="single" w:sz="4" w:space="0" w:color="95B3D7"/>
            </w:tcBorders>
            <w:shd w:val="clear" w:color="auto" w:fill="auto"/>
            <w:noWrap/>
            <w:vAlign w:val="bottom"/>
            <w:hideMark/>
          </w:tcPr>
          <w:p w14:paraId="16E6FC54"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2,2%</w:t>
            </w:r>
          </w:p>
        </w:tc>
      </w:tr>
      <w:tr w:rsidR="00302EA4" w:rsidRPr="00D54771" w14:paraId="32D1E1B6"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DCE6F1" w:fill="DCE6F1"/>
            <w:noWrap/>
            <w:vAlign w:val="bottom"/>
            <w:hideMark/>
          </w:tcPr>
          <w:p w14:paraId="3DD96957"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TR22 (Balıkesir, Çanakkale)</w:t>
            </w:r>
          </w:p>
        </w:tc>
        <w:tc>
          <w:tcPr>
            <w:tcW w:w="3460" w:type="dxa"/>
            <w:tcBorders>
              <w:top w:val="single" w:sz="4" w:space="0" w:color="95B3D7"/>
              <w:left w:val="nil"/>
              <w:bottom w:val="single" w:sz="4" w:space="0" w:color="95B3D7"/>
              <w:right w:val="single" w:sz="4" w:space="0" w:color="95B3D7"/>
            </w:tcBorders>
            <w:shd w:val="clear" w:color="DCE6F1" w:fill="DCE6F1"/>
            <w:noWrap/>
            <w:vAlign w:val="bottom"/>
            <w:hideMark/>
          </w:tcPr>
          <w:p w14:paraId="58AAFDA7"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2,7%</w:t>
            </w:r>
          </w:p>
        </w:tc>
      </w:tr>
      <w:tr w:rsidR="00302EA4" w:rsidRPr="00D54771" w14:paraId="1122ECA3"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auto" w:fill="auto"/>
            <w:noWrap/>
            <w:vAlign w:val="bottom"/>
            <w:hideMark/>
          </w:tcPr>
          <w:p w14:paraId="38CCC820"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TR31 (İzmir)</w:t>
            </w:r>
          </w:p>
        </w:tc>
        <w:tc>
          <w:tcPr>
            <w:tcW w:w="3460" w:type="dxa"/>
            <w:tcBorders>
              <w:top w:val="single" w:sz="4" w:space="0" w:color="95B3D7"/>
              <w:left w:val="nil"/>
              <w:bottom w:val="single" w:sz="4" w:space="0" w:color="95B3D7"/>
              <w:right w:val="single" w:sz="4" w:space="0" w:color="95B3D7"/>
            </w:tcBorders>
            <w:shd w:val="clear" w:color="auto" w:fill="auto"/>
            <w:noWrap/>
            <w:vAlign w:val="bottom"/>
            <w:hideMark/>
          </w:tcPr>
          <w:p w14:paraId="232658A1"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3,2%</w:t>
            </w:r>
          </w:p>
        </w:tc>
      </w:tr>
      <w:tr w:rsidR="00302EA4" w:rsidRPr="00D54771" w14:paraId="29C1C7D5"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DCE6F1" w:fill="DCE6F1"/>
            <w:noWrap/>
            <w:vAlign w:val="bottom"/>
            <w:hideMark/>
          </w:tcPr>
          <w:p w14:paraId="03DCDC05"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TR32 (Aydın, Denizli, Muğla)</w:t>
            </w:r>
          </w:p>
        </w:tc>
        <w:tc>
          <w:tcPr>
            <w:tcW w:w="3460" w:type="dxa"/>
            <w:tcBorders>
              <w:top w:val="single" w:sz="4" w:space="0" w:color="95B3D7"/>
              <w:left w:val="nil"/>
              <w:bottom w:val="single" w:sz="4" w:space="0" w:color="95B3D7"/>
              <w:right w:val="single" w:sz="4" w:space="0" w:color="95B3D7"/>
            </w:tcBorders>
            <w:shd w:val="clear" w:color="DCE6F1" w:fill="DCE6F1"/>
            <w:noWrap/>
            <w:vAlign w:val="bottom"/>
            <w:hideMark/>
          </w:tcPr>
          <w:p w14:paraId="4AF16523"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3,5%</w:t>
            </w:r>
          </w:p>
        </w:tc>
      </w:tr>
      <w:tr w:rsidR="00302EA4" w:rsidRPr="00D54771" w14:paraId="089BE6B7"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auto" w:fill="auto"/>
            <w:noWrap/>
            <w:vAlign w:val="bottom"/>
            <w:hideMark/>
          </w:tcPr>
          <w:p w14:paraId="0A1C013C"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TR33 (Manisa, Afyonkarahisar, Kütahya, Uşak)</w:t>
            </w:r>
          </w:p>
        </w:tc>
        <w:tc>
          <w:tcPr>
            <w:tcW w:w="3460" w:type="dxa"/>
            <w:tcBorders>
              <w:top w:val="single" w:sz="4" w:space="0" w:color="95B3D7"/>
              <w:left w:val="nil"/>
              <w:bottom w:val="single" w:sz="4" w:space="0" w:color="95B3D7"/>
              <w:right w:val="single" w:sz="4" w:space="0" w:color="95B3D7"/>
            </w:tcBorders>
            <w:shd w:val="clear" w:color="auto" w:fill="auto"/>
            <w:noWrap/>
            <w:vAlign w:val="bottom"/>
            <w:hideMark/>
          </w:tcPr>
          <w:p w14:paraId="6F681FE1"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2,1%</w:t>
            </w:r>
          </w:p>
        </w:tc>
      </w:tr>
      <w:tr w:rsidR="00302EA4" w:rsidRPr="00D54771" w14:paraId="71B23D73"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DCE6F1" w:fill="DCE6F1"/>
            <w:noWrap/>
            <w:vAlign w:val="bottom"/>
            <w:hideMark/>
          </w:tcPr>
          <w:p w14:paraId="5FEEA437"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TR41 (Bursa, Eskişehir, Bilecik)</w:t>
            </w:r>
          </w:p>
        </w:tc>
        <w:tc>
          <w:tcPr>
            <w:tcW w:w="3460" w:type="dxa"/>
            <w:tcBorders>
              <w:top w:val="single" w:sz="4" w:space="0" w:color="95B3D7"/>
              <w:left w:val="nil"/>
              <w:bottom w:val="single" w:sz="4" w:space="0" w:color="95B3D7"/>
              <w:right w:val="single" w:sz="4" w:space="0" w:color="95B3D7"/>
            </w:tcBorders>
            <w:shd w:val="clear" w:color="DCE6F1" w:fill="DCE6F1"/>
            <w:noWrap/>
            <w:vAlign w:val="bottom"/>
            <w:hideMark/>
          </w:tcPr>
          <w:p w14:paraId="611EB27D"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2,3%</w:t>
            </w:r>
          </w:p>
        </w:tc>
      </w:tr>
      <w:tr w:rsidR="00302EA4" w:rsidRPr="00D54771" w14:paraId="22B0B2BA"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auto" w:fill="auto"/>
            <w:noWrap/>
            <w:vAlign w:val="bottom"/>
            <w:hideMark/>
          </w:tcPr>
          <w:p w14:paraId="5DEC4F06"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TR42 (Kocaeli, Sakarya, Düzce, Bolu, Yalova)</w:t>
            </w:r>
          </w:p>
        </w:tc>
        <w:tc>
          <w:tcPr>
            <w:tcW w:w="3460" w:type="dxa"/>
            <w:tcBorders>
              <w:top w:val="single" w:sz="4" w:space="0" w:color="95B3D7"/>
              <w:left w:val="nil"/>
              <w:bottom w:val="single" w:sz="4" w:space="0" w:color="95B3D7"/>
              <w:right w:val="single" w:sz="4" w:space="0" w:color="95B3D7"/>
            </w:tcBorders>
            <w:shd w:val="clear" w:color="auto" w:fill="auto"/>
            <w:noWrap/>
            <w:vAlign w:val="bottom"/>
            <w:hideMark/>
          </w:tcPr>
          <w:p w14:paraId="4DA088E6"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2,5%</w:t>
            </w:r>
          </w:p>
        </w:tc>
      </w:tr>
      <w:tr w:rsidR="00302EA4" w:rsidRPr="00D54771" w14:paraId="792EE086"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DCE6F1" w:fill="DCE6F1"/>
            <w:noWrap/>
            <w:vAlign w:val="bottom"/>
            <w:hideMark/>
          </w:tcPr>
          <w:p w14:paraId="6FC554DF"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TR51 (Ankara)</w:t>
            </w:r>
          </w:p>
        </w:tc>
        <w:tc>
          <w:tcPr>
            <w:tcW w:w="3460" w:type="dxa"/>
            <w:tcBorders>
              <w:top w:val="single" w:sz="4" w:space="0" w:color="95B3D7"/>
              <w:left w:val="nil"/>
              <w:bottom w:val="single" w:sz="4" w:space="0" w:color="95B3D7"/>
              <w:right w:val="single" w:sz="4" w:space="0" w:color="95B3D7"/>
            </w:tcBorders>
            <w:shd w:val="clear" w:color="DCE6F1" w:fill="DCE6F1"/>
            <w:noWrap/>
            <w:vAlign w:val="bottom"/>
            <w:hideMark/>
          </w:tcPr>
          <w:p w14:paraId="0055DDE9"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1,8%</w:t>
            </w:r>
          </w:p>
        </w:tc>
      </w:tr>
      <w:tr w:rsidR="00302EA4" w:rsidRPr="00D54771" w14:paraId="2B214C88"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auto" w:fill="auto"/>
            <w:noWrap/>
            <w:vAlign w:val="bottom"/>
            <w:hideMark/>
          </w:tcPr>
          <w:p w14:paraId="16686D52"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TR52 (Konya, Karaman)</w:t>
            </w:r>
          </w:p>
        </w:tc>
        <w:tc>
          <w:tcPr>
            <w:tcW w:w="3460" w:type="dxa"/>
            <w:tcBorders>
              <w:top w:val="single" w:sz="4" w:space="0" w:color="95B3D7"/>
              <w:left w:val="nil"/>
              <w:bottom w:val="single" w:sz="4" w:space="0" w:color="95B3D7"/>
              <w:right w:val="single" w:sz="4" w:space="0" w:color="95B3D7"/>
            </w:tcBorders>
            <w:shd w:val="clear" w:color="auto" w:fill="auto"/>
            <w:noWrap/>
            <w:vAlign w:val="bottom"/>
            <w:hideMark/>
          </w:tcPr>
          <w:p w14:paraId="3F368F39"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3,6%</w:t>
            </w:r>
          </w:p>
        </w:tc>
      </w:tr>
      <w:tr w:rsidR="00302EA4" w:rsidRPr="00D54771" w14:paraId="0DCB4388"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DCE6F1" w:fill="DCE6F1"/>
            <w:noWrap/>
            <w:vAlign w:val="bottom"/>
            <w:hideMark/>
          </w:tcPr>
          <w:p w14:paraId="3781DA8B"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lastRenderedPageBreak/>
              <w:t>TR61 (Antalya, Isparta, Burdur)</w:t>
            </w:r>
          </w:p>
        </w:tc>
        <w:tc>
          <w:tcPr>
            <w:tcW w:w="3460" w:type="dxa"/>
            <w:tcBorders>
              <w:top w:val="single" w:sz="4" w:space="0" w:color="95B3D7"/>
              <w:left w:val="nil"/>
              <w:bottom w:val="single" w:sz="4" w:space="0" w:color="95B3D7"/>
              <w:right w:val="single" w:sz="4" w:space="0" w:color="95B3D7"/>
            </w:tcBorders>
            <w:shd w:val="clear" w:color="DCE6F1" w:fill="DCE6F1"/>
            <w:noWrap/>
            <w:vAlign w:val="bottom"/>
            <w:hideMark/>
          </w:tcPr>
          <w:p w14:paraId="0BA9D7DF"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2,6%</w:t>
            </w:r>
          </w:p>
        </w:tc>
      </w:tr>
      <w:tr w:rsidR="00302EA4" w:rsidRPr="00D54771" w14:paraId="5807FE36"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auto" w:fill="auto"/>
            <w:noWrap/>
            <w:vAlign w:val="bottom"/>
            <w:hideMark/>
          </w:tcPr>
          <w:p w14:paraId="49EA70C1"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TR62 (Adana, Mersin)</w:t>
            </w:r>
          </w:p>
        </w:tc>
        <w:tc>
          <w:tcPr>
            <w:tcW w:w="3460" w:type="dxa"/>
            <w:tcBorders>
              <w:top w:val="single" w:sz="4" w:space="0" w:color="95B3D7"/>
              <w:left w:val="nil"/>
              <w:bottom w:val="single" w:sz="4" w:space="0" w:color="95B3D7"/>
              <w:right w:val="single" w:sz="4" w:space="0" w:color="95B3D7"/>
            </w:tcBorders>
            <w:shd w:val="clear" w:color="auto" w:fill="auto"/>
            <w:noWrap/>
            <w:vAlign w:val="bottom"/>
            <w:hideMark/>
          </w:tcPr>
          <w:p w14:paraId="41F4665E"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3,1%</w:t>
            </w:r>
          </w:p>
        </w:tc>
      </w:tr>
      <w:tr w:rsidR="00302EA4" w:rsidRPr="00D54771" w14:paraId="0A2ECA27"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DCE6F1" w:fill="DCE6F1"/>
            <w:noWrap/>
            <w:vAlign w:val="bottom"/>
            <w:hideMark/>
          </w:tcPr>
          <w:p w14:paraId="45B04432"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TR63 (Hatay, Kahramanmaraş, Osmaniye)</w:t>
            </w:r>
          </w:p>
        </w:tc>
        <w:tc>
          <w:tcPr>
            <w:tcW w:w="3460" w:type="dxa"/>
            <w:tcBorders>
              <w:top w:val="single" w:sz="4" w:space="0" w:color="95B3D7"/>
              <w:left w:val="nil"/>
              <w:bottom w:val="single" w:sz="4" w:space="0" w:color="95B3D7"/>
              <w:right w:val="single" w:sz="4" w:space="0" w:color="95B3D7"/>
            </w:tcBorders>
            <w:shd w:val="clear" w:color="DCE6F1" w:fill="DCE6F1"/>
            <w:noWrap/>
            <w:vAlign w:val="bottom"/>
            <w:hideMark/>
          </w:tcPr>
          <w:p w14:paraId="1634FF31"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3,1%</w:t>
            </w:r>
          </w:p>
        </w:tc>
      </w:tr>
      <w:tr w:rsidR="00302EA4" w:rsidRPr="00D54771" w14:paraId="44A7A66A"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auto" w:fill="auto"/>
            <w:noWrap/>
            <w:vAlign w:val="bottom"/>
            <w:hideMark/>
          </w:tcPr>
          <w:p w14:paraId="400DFB5B"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TR71 (Kırıkkale, Aksaray, Niğde, Nevşehir, Kırşehir)</w:t>
            </w:r>
          </w:p>
        </w:tc>
        <w:tc>
          <w:tcPr>
            <w:tcW w:w="3460" w:type="dxa"/>
            <w:tcBorders>
              <w:top w:val="single" w:sz="4" w:space="0" w:color="95B3D7"/>
              <w:left w:val="nil"/>
              <w:bottom w:val="single" w:sz="4" w:space="0" w:color="95B3D7"/>
              <w:right w:val="single" w:sz="4" w:space="0" w:color="95B3D7"/>
            </w:tcBorders>
            <w:shd w:val="clear" w:color="auto" w:fill="auto"/>
            <w:noWrap/>
            <w:vAlign w:val="bottom"/>
            <w:hideMark/>
          </w:tcPr>
          <w:p w14:paraId="7370ACF2"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3,0%</w:t>
            </w:r>
          </w:p>
        </w:tc>
      </w:tr>
      <w:tr w:rsidR="00302EA4" w:rsidRPr="00D54771" w14:paraId="1105F6CA"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DCE6F1" w:fill="DCE6F1"/>
            <w:noWrap/>
            <w:vAlign w:val="bottom"/>
            <w:hideMark/>
          </w:tcPr>
          <w:p w14:paraId="6EA81CED"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TR72 (Kayseri, Sivas, Yozgat)</w:t>
            </w:r>
          </w:p>
        </w:tc>
        <w:tc>
          <w:tcPr>
            <w:tcW w:w="3460" w:type="dxa"/>
            <w:tcBorders>
              <w:top w:val="single" w:sz="4" w:space="0" w:color="95B3D7"/>
              <w:left w:val="nil"/>
              <w:bottom w:val="single" w:sz="4" w:space="0" w:color="95B3D7"/>
              <w:right w:val="single" w:sz="4" w:space="0" w:color="95B3D7"/>
            </w:tcBorders>
            <w:shd w:val="clear" w:color="DCE6F1" w:fill="DCE6F1"/>
            <w:noWrap/>
            <w:vAlign w:val="bottom"/>
            <w:hideMark/>
          </w:tcPr>
          <w:p w14:paraId="426AA9EE"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3,1%</w:t>
            </w:r>
          </w:p>
        </w:tc>
      </w:tr>
      <w:tr w:rsidR="00302EA4" w:rsidRPr="00D54771" w14:paraId="01AE569B"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auto" w:fill="auto"/>
            <w:noWrap/>
            <w:vAlign w:val="bottom"/>
            <w:hideMark/>
          </w:tcPr>
          <w:p w14:paraId="2CD9695E"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TR81 (Zonguldak, Karabük, Bartın)</w:t>
            </w:r>
          </w:p>
        </w:tc>
        <w:tc>
          <w:tcPr>
            <w:tcW w:w="3460" w:type="dxa"/>
            <w:tcBorders>
              <w:top w:val="single" w:sz="4" w:space="0" w:color="95B3D7"/>
              <w:left w:val="nil"/>
              <w:bottom w:val="single" w:sz="4" w:space="0" w:color="95B3D7"/>
              <w:right w:val="single" w:sz="4" w:space="0" w:color="95B3D7"/>
            </w:tcBorders>
            <w:shd w:val="clear" w:color="auto" w:fill="auto"/>
            <w:noWrap/>
            <w:vAlign w:val="bottom"/>
            <w:hideMark/>
          </w:tcPr>
          <w:p w14:paraId="2BAC07A7"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4,1%</w:t>
            </w:r>
          </w:p>
        </w:tc>
      </w:tr>
      <w:tr w:rsidR="00302EA4" w:rsidRPr="00D54771" w14:paraId="3E8D9392"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DCE6F1" w:fill="DCE6F1"/>
            <w:noWrap/>
            <w:vAlign w:val="bottom"/>
            <w:hideMark/>
          </w:tcPr>
          <w:p w14:paraId="183D2FFC"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TR82 (Kastamonu, Çankırı, Sinop)</w:t>
            </w:r>
          </w:p>
        </w:tc>
        <w:tc>
          <w:tcPr>
            <w:tcW w:w="3460" w:type="dxa"/>
            <w:tcBorders>
              <w:top w:val="single" w:sz="4" w:space="0" w:color="95B3D7"/>
              <w:left w:val="nil"/>
              <w:bottom w:val="single" w:sz="4" w:space="0" w:color="95B3D7"/>
              <w:right w:val="single" w:sz="4" w:space="0" w:color="95B3D7"/>
            </w:tcBorders>
            <w:shd w:val="clear" w:color="DCE6F1" w:fill="DCE6F1"/>
            <w:noWrap/>
            <w:vAlign w:val="bottom"/>
            <w:hideMark/>
          </w:tcPr>
          <w:p w14:paraId="7E668873"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2,0%</w:t>
            </w:r>
          </w:p>
        </w:tc>
      </w:tr>
      <w:tr w:rsidR="00302EA4" w:rsidRPr="00D54771" w14:paraId="50A5EB19"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auto" w:fill="auto"/>
            <w:noWrap/>
            <w:vAlign w:val="bottom"/>
            <w:hideMark/>
          </w:tcPr>
          <w:p w14:paraId="5863222D"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TR83 (Samsun, Tokat, Çorum, Amasya)</w:t>
            </w:r>
          </w:p>
        </w:tc>
        <w:tc>
          <w:tcPr>
            <w:tcW w:w="3460" w:type="dxa"/>
            <w:tcBorders>
              <w:top w:val="single" w:sz="4" w:space="0" w:color="95B3D7"/>
              <w:left w:val="nil"/>
              <w:bottom w:val="single" w:sz="4" w:space="0" w:color="95B3D7"/>
              <w:right w:val="single" w:sz="4" w:space="0" w:color="95B3D7"/>
            </w:tcBorders>
            <w:shd w:val="clear" w:color="auto" w:fill="auto"/>
            <w:noWrap/>
            <w:vAlign w:val="bottom"/>
            <w:hideMark/>
          </w:tcPr>
          <w:p w14:paraId="6E2305E4"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2,9%</w:t>
            </w:r>
          </w:p>
        </w:tc>
      </w:tr>
      <w:tr w:rsidR="00302EA4" w:rsidRPr="00D54771" w14:paraId="35D103D3"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DCE6F1" w:fill="DCE6F1"/>
            <w:noWrap/>
            <w:vAlign w:val="bottom"/>
            <w:hideMark/>
          </w:tcPr>
          <w:p w14:paraId="0838EDE2"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TR90 (Trabzon, Ordu, Giresun, Rize, Artvin, Gümüşhane)</w:t>
            </w:r>
          </w:p>
        </w:tc>
        <w:tc>
          <w:tcPr>
            <w:tcW w:w="3460" w:type="dxa"/>
            <w:tcBorders>
              <w:top w:val="single" w:sz="4" w:space="0" w:color="95B3D7"/>
              <w:left w:val="nil"/>
              <w:bottom w:val="single" w:sz="4" w:space="0" w:color="95B3D7"/>
              <w:right w:val="single" w:sz="4" w:space="0" w:color="95B3D7"/>
            </w:tcBorders>
            <w:shd w:val="clear" w:color="DCE6F1" w:fill="DCE6F1"/>
            <w:noWrap/>
            <w:vAlign w:val="bottom"/>
            <w:hideMark/>
          </w:tcPr>
          <w:p w14:paraId="0B0ABBBD"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2,4%</w:t>
            </w:r>
          </w:p>
        </w:tc>
      </w:tr>
      <w:tr w:rsidR="00302EA4" w:rsidRPr="00D54771" w14:paraId="590BC506"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auto" w:fill="auto"/>
            <w:noWrap/>
            <w:vAlign w:val="bottom"/>
            <w:hideMark/>
          </w:tcPr>
          <w:p w14:paraId="2E8C780A"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TRA1 (Erzurum, Erzincan, Bayburt)</w:t>
            </w:r>
          </w:p>
        </w:tc>
        <w:tc>
          <w:tcPr>
            <w:tcW w:w="3460" w:type="dxa"/>
            <w:tcBorders>
              <w:top w:val="single" w:sz="4" w:space="0" w:color="95B3D7"/>
              <w:left w:val="nil"/>
              <w:bottom w:val="single" w:sz="4" w:space="0" w:color="95B3D7"/>
              <w:right w:val="single" w:sz="4" w:space="0" w:color="95B3D7"/>
            </w:tcBorders>
            <w:shd w:val="clear" w:color="auto" w:fill="auto"/>
            <w:noWrap/>
            <w:vAlign w:val="bottom"/>
            <w:hideMark/>
          </w:tcPr>
          <w:p w14:paraId="5DE5EEEC"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2,4%</w:t>
            </w:r>
          </w:p>
        </w:tc>
      </w:tr>
      <w:tr w:rsidR="00302EA4" w:rsidRPr="00D54771" w14:paraId="2F7986F0"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DCE6F1" w:fill="DCE6F1"/>
            <w:noWrap/>
            <w:vAlign w:val="bottom"/>
            <w:hideMark/>
          </w:tcPr>
          <w:p w14:paraId="33926999"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TRA2 (Ağrı, Kars, Iğdır, Ardahan)</w:t>
            </w:r>
          </w:p>
        </w:tc>
        <w:tc>
          <w:tcPr>
            <w:tcW w:w="3460" w:type="dxa"/>
            <w:tcBorders>
              <w:top w:val="single" w:sz="4" w:space="0" w:color="95B3D7"/>
              <w:left w:val="nil"/>
              <w:bottom w:val="single" w:sz="4" w:space="0" w:color="95B3D7"/>
              <w:right w:val="single" w:sz="4" w:space="0" w:color="95B3D7"/>
            </w:tcBorders>
            <w:shd w:val="clear" w:color="DCE6F1" w:fill="DCE6F1"/>
            <w:noWrap/>
            <w:vAlign w:val="bottom"/>
            <w:hideMark/>
          </w:tcPr>
          <w:p w14:paraId="12E9D413"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3,0%</w:t>
            </w:r>
          </w:p>
        </w:tc>
      </w:tr>
      <w:tr w:rsidR="00302EA4" w:rsidRPr="00D54771" w14:paraId="28BC5BF3"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auto" w:fill="auto"/>
            <w:noWrap/>
            <w:vAlign w:val="bottom"/>
            <w:hideMark/>
          </w:tcPr>
          <w:p w14:paraId="643A7B34"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 xml:space="preserve">TRB1 (Malatya, </w:t>
            </w:r>
            <w:proofErr w:type="gramStart"/>
            <w:r w:rsidRPr="00D54771">
              <w:rPr>
                <w:rFonts w:ascii="Arial" w:eastAsia="Times New Roman" w:hAnsi="Arial" w:cs="Arial"/>
                <w:color w:val="000000"/>
                <w:sz w:val="18"/>
                <w:szCs w:val="18"/>
                <w:lang w:eastAsia="tr-TR"/>
              </w:rPr>
              <w:t>Elazığ</w:t>
            </w:r>
            <w:proofErr w:type="gramEnd"/>
            <w:r w:rsidRPr="00D54771">
              <w:rPr>
                <w:rFonts w:ascii="Arial" w:eastAsia="Times New Roman" w:hAnsi="Arial" w:cs="Arial"/>
                <w:color w:val="000000"/>
                <w:sz w:val="18"/>
                <w:szCs w:val="18"/>
                <w:lang w:eastAsia="tr-TR"/>
              </w:rPr>
              <w:t>, Bingöl, Tunceli)</w:t>
            </w:r>
          </w:p>
        </w:tc>
        <w:tc>
          <w:tcPr>
            <w:tcW w:w="3460" w:type="dxa"/>
            <w:tcBorders>
              <w:top w:val="single" w:sz="4" w:space="0" w:color="95B3D7"/>
              <w:left w:val="nil"/>
              <w:bottom w:val="single" w:sz="4" w:space="0" w:color="95B3D7"/>
              <w:right w:val="single" w:sz="4" w:space="0" w:color="95B3D7"/>
            </w:tcBorders>
            <w:shd w:val="clear" w:color="auto" w:fill="auto"/>
            <w:noWrap/>
            <w:vAlign w:val="bottom"/>
            <w:hideMark/>
          </w:tcPr>
          <w:p w14:paraId="329567D0"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2,9%</w:t>
            </w:r>
          </w:p>
        </w:tc>
      </w:tr>
      <w:tr w:rsidR="00302EA4" w:rsidRPr="00D54771" w14:paraId="4E2F5E42"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DCE6F1" w:fill="DCE6F1"/>
            <w:noWrap/>
            <w:vAlign w:val="bottom"/>
            <w:hideMark/>
          </w:tcPr>
          <w:p w14:paraId="5D203465"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 xml:space="preserve">TRB2 (Van, Muş, Bitlis, </w:t>
            </w:r>
            <w:proofErr w:type="gramStart"/>
            <w:r w:rsidRPr="00D54771">
              <w:rPr>
                <w:rFonts w:ascii="Arial" w:eastAsia="Times New Roman" w:hAnsi="Arial" w:cs="Arial"/>
                <w:color w:val="000000"/>
                <w:sz w:val="18"/>
                <w:szCs w:val="18"/>
                <w:lang w:eastAsia="tr-TR"/>
              </w:rPr>
              <w:t>Hakkari</w:t>
            </w:r>
            <w:proofErr w:type="gramEnd"/>
            <w:r w:rsidRPr="00D54771">
              <w:rPr>
                <w:rFonts w:ascii="Arial" w:eastAsia="Times New Roman" w:hAnsi="Arial" w:cs="Arial"/>
                <w:color w:val="000000"/>
                <w:sz w:val="18"/>
                <w:szCs w:val="18"/>
                <w:lang w:eastAsia="tr-TR"/>
              </w:rPr>
              <w:t>)</w:t>
            </w:r>
          </w:p>
        </w:tc>
        <w:tc>
          <w:tcPr>
            <w:tcW w:w="3460" w:type="dxa"/>
            <w:tcBorders>
              <w:top w:val="single" w:sz="4" w:space="0" w:color="95B3D7"/>
              <w:left w:val="nil"/>
              <w:bottom w:val="single" w:sz="4" w:space="0" w:color="95B3D7"/>
              <w:right w:val="single" w:sz="4" w:space="0" w:color="95B3D7"/>
            </w:tcBorders>
            <w:shd w:val="clear" w:color="DCE6F1" w:fill="DCE6F1"/>
            <w:noWrap/>
            <w:vAlign w:val="bottom"/>
            <w:hideMark/>
          </w:tcPr>
          <w:p w14:paraId="3786EC98"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3,0%</w:t>
            </w:r>
          </w:p>
        </w:tc>
      </w:tr>
      <w:tr w:rsidR="00302EA4" w:rsidRPr="00D54771" w14:paraId="79EFC822"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auto" w:fill="auto"/>
            <w:noWrap/>
            <w:vAlign w:val="bottom"/>
            <w:hideMark/>
          </w:tcPr>
          <w:p w14:paraId="0A3FD80E"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TRC1 (Gaziantep, Adıyaman, Kilis)</w:t>
            </w:r>
          </w:p>
        </w:tc>
        <w:tc>
          <w:tcPr>
            <w:tcW w:w="3460" w:type="dxa"/>
            <w:tcBorders>
              <w:top w:val="single" w:sz="4" w:space="0" w:color="95B3D7"/>
              <w:left w:val="nil"/>
              <w:bottom w:val="single" w:sz="4" w:space="0" w:color="95B3D7"/>
              <w:right w:val="single" w:sz="4" w:space="0" w:color="95B3D7"/>
            </w:tcBorders>
            <w:shd w:val="clear" w:color="auto" w:fill="auto"/>
            <w:noWrap/>
            <w:vAlign w:val="bottom"/>
            <w:hideMark/>
          </w:tcPr>
          <w:p w14:paraId="4E504EE7"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4,4%</w:t>
            </w:r>
          </w:p>
        </w:tc>
      </w:tr>
      <w:tr w:rsidR="00302EA4" w:rsidRPr="00D54771" w14:paraId="48293121" w14:textId="77777777" w:rsidTr="00AB7BF7">
        <w:trPr>
          <w:trHeight w:val="260"/>
        </w:trPr>
        <w:tc>
          <w:tcPr>
            <w:tcW w:w="4740" w:type="dxa"/>
            <w:tcBorders>
              <w:top w:val="single" w:sz="4" w:space="0" w:color="95B3D7"/>
              <w:left w:val="single" w:sz="4" w:space="0" w:color="95B3D7"/>
              <w:bottom w:val="single" w:sz="4" w:space="0" w:color="95B3D7"/>
              <w:right w:val="nil"/>
            </w:tcBorders>
            <w:shd w:val="clear" w:color="DCE6F1" w:fill="DCE6F1"/>
            <w:noWrap/>
            <w:vAlign w:val="bottom"/>
            <w:hideMark/>
          </w:tcPr>
          <w:p w14:paraId="7EDDC6D8"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TRC2 (Şanlıurfa, Diyarbakır)</w:t>
            </w:r>
          </w:p>
        </w:tc>
        <w:tc>
          <w:tcPr>
            <w:tcW w:w="3460" w:type="dxa"/>
            <w:tcBorders>
              <w:top w:val="single" w:sz="4" w:space="0" w:color="95B3D7"/>
              <w:left w:val="nil"/>
              <w:bottom w:val="single" w:sz="4" w:space="0" w:color="95B3D7"/>
              <w:right w:val="single" w:sz="4" w:space="0" w:color="95B3D7"/>
            </w:tcBorders>
            <w:shd w:val="clear" w:color="DCE6F1" w:fill="DCE6F1"/>
            <w:noWrap/>
            <w:vAlign w:val="bottom"/>
            <w:hideMark/>
          </w:tcPr>
          <w:p w14:paraId="1D224E79"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2,2%</w:t>
            </w:r>
          </w:p>
        </w:tc>
      </w:tr>
      <w:tr w:rsidR="00302EA4" w:rsidRPr="00D54771" w14:paraId="640E9C40" w14:textId="77777777" w:rsidTr="00AB7BF7">
        <w:trPr>
          <w:trHeight w:val="280"/>
        </w:trPr>
        <w:tc>
          <w:tcPr>
            <w:tcW w:w="4740" w:type="dxa"/>
            <w:tcBorders>
              <w:top w:val="single" w:sz="4" w:space="0" w:color="95B3D7"/>
              <w:left w:val="single" w:sz="4" w:space="0" w:color="95B3D7"/>
              <w:bottom w:val="single" w:sz="8" w:space="0" w:color="auto"/>
              <w:right w:val="nil"/>
            </w:tcBorders>
            <w:shd w:val="clear" w:color="auto" w:fill="auto"/>
            <w:noWrap/>
            <w:vAlign w:val="bottom"/>
            <w:hideMark/>
          </w:tcPr>
          <w:p w14:paraId="6F4E892A" w14:textId="77777777" w:rsidR="00302EA4" w:rsidRPr="00D54771" w:rsidRDefault="00302EA4" w:rsidP="00AB7BF7">
            <w:pPr>
              <w:ind w:left="0"/>
              <w:rPr>
                <w:rFonts w:ascii="Arial" w:eastAsia="Times New Roman" w:hAnsi="Arial" w:cs="Arial"/>
                <w:color w:val="000000"/>
                <w:sz w:val="18"/>
                <w:szCs w:val="18"/>
                <w:lang w:eastAsia="tr-TR"/>
              </w:rPr>
            </w:pPr>
            <w:r w:rsidRPr="00D54771">
              <w:rPr>
                <w:rFonts w:ascii="Arial" w:eastAsia="Times New Roman" w:hAnsi="Arial" w:cs="Arial"/>
                <w:color w:val="000000"/>
                <w:sz w:val="18"/>
                <w:szCs w:val="18"/>
                <w:lang w:eastAsia="tr-TR"/>
              </w:rPr>
              <w:t>TRC3 (Mardin, Batman, Şırnak, Siirt)</w:t>
            </w:r>
          </w:p>
        </w:tc>
        <w:tc>
          <w:tcPr>
            <w:tcW w:w="3460" w:type="dxa"/>
            <w:tcBorders>
              <w:top w:val="single" w:sz="4" w:space="0" w:color="95B3D7"/>
              <w:left w:val="nil"/>
              <w:bottom w:val="single" w:sz="4" w:space="0" w:color="95B3D7"/>
              <w:right w:val="single" w:sz="4" w:space="0" w:color="95B3D7"/>
            </w:tcBorders>
            <w:shd w:val="clear" w:color="auto" w:fill="auto"/>
            <w:noWrap/>
            <w:vAlign w:val="bottom"/>
            <w:hideMark/>
          </w:tcPr>
          <w:p w14:paraId="32F109B8" w14:textId="77777777" w:rsidR="00302EA4" w:rsidRPr="00D54771" w:rsidRDefault="00302EA4" w:rsidP="00AB7BF7">
            <w:pPr>
              <w:ind w:left="0"/>
              <w:jc w:val="right"/>
              <w:rPr>
                <w:rFonts w:ascii="Arial" w:eastAsia="Times New Roman" w:hAnsi="Arial" w:cs="Arial"/>
                <w:color w:val="000000"/>
                <w:sz w:val="20"/>
                <w:szCs w:val="20"/>
                <w:lang w:eastAsia="tr-TR"/>
              </w:rPr>
            </w:pPr>
            <w:r w:rsidRPr="00D54771">
              <w:rPr>
                <w:rFonts w:ascii="Arial" w:eastAsia="Times New Roman" w:hAnsi="Arial" w:cs="Arial"/>
                <w:color w:val="000000"/>
                <w:sz w:val="20"/>
                <w:szCs w:val="20"/>
                <w:lang w:eastAsia="tr-TR"/>
              </w:rPr>
              <w:t>2,5%</w:t>
            </w:r>
          </w:p>
        </w:tc>
      </w:tr>
    </w:tbl>
    <w:p w14:paraId="1F8D3D3C" w14:textId="69F82609" w:rsidR="00302EA4" w:rsidRDefault="00302EA4" w:rsidP="00302EA4">
      <w:pPr>
        <w:spacing w:after="240"/>
        <w:ind w:left="0"/>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Kaynak: TÜİK Tüketici Fiyat Endeksi</w:t>
      </w:r>
      <w:r w:rsidR="00B2388B">
        <w:rPr>
          <w:rStyle w:val="apple-style-span"/>
          <w:rFonts w:ascii="Times New Roman" w:hAnsi="Times New Roman" w:cs="Times New Roman"/>
          <w:color w:val="000000"/>
          <w:sz w:val="24"/>
          <w:szCs w:val="24"/>
          <w:shd w:val="clear" w:color="auto" w:fill="FFFFFF"/>
        </w:rPr>
        <w:t>,</w:t>
      </w:r>
      <w:r>
        <w:rPr>
          <w:rStyle w:val="apple-style-span"/>
          <w:rFonts w:ascii="Times New Roman" w:hAnsi="Times New Roman" w:cs="Times New Roman"/>
          <w:color w:val="000000"/>
          <w:sz w:val="24"/>
          <w:szCs w:val="24"/>
          <w:shd w:val="clear" w:color="auto" w:fill="FFFFFF"/>
        </w:rPr>
        <w:t xml:space="preserve"> </w:t>
      </w:r>
      <w:r w:rsidRPr="00302EA4">
        <w:rPr>
          <w:rStyle w:val="apple-style-span"/>
          <w:rFonts w:ascii="Times New Roman" w:hAnsi="Times New Roman" w:cs="Times New Roman"/>
          <w:color w:val="000000"/>
          <w:sz w:val="24"/>
          <w:szCs w:val="24"/>
          <w:shd w:val="clear" w:color="auto" w:fill="FFFFFF"/>
        </w:rPr>
        <w:t xml:space="preserve">İstatistiki bölgelere göre Tüketici Fiyat Endeksi ve değişim oranı (%) (2003=100) </w:t>
      </w:r>
      <w:r>
        <w:rPr>
          <w:rStyle w:val="apple-style-span"/>
          <w:rFonts w:ascii="Times New Roman" w:hAnsi="Times New Roman" w:cs="Times New Roman"/>
          <w:color w:val="000000"/>
          <w:sz w:val="24"/>
          <w:szCs w:val="24"/>
          <w:shd w:val="clear" w:color="auto" w:fill="FFFFFF"/>
        </w:rPr>
        <w:t>Endeks Sonuçları, Çalışma ve Sosyal Güvenlik Bakanlığı Asgari Ücret Verileri üzerinden tarafımızca hesaplanmıştır</w:t>
      </w:r>
    </w:p>
    <w:p w14:paraId="65D35619" w14:textId="23B6EDDE" w:rsidR="003E3F92" w:rsidRDefault="00302EA4" w:rsidP="003B7209">
      <w:pPr>
        <w:spacing w:after="240" w:line="360" w:lineRule="auto"/>
        <w:ind w:left="0"/>
        <w:jc w:val="both"/>
        <w:rPr>
          <w:rFonts w:ascii="Times" w:eastAsia="Times New Roman" w:hAnsi="Times" w:cs="Arial"/>
          <w:color w:val="000000"/>
          <w:sz w:val="24"/>
          <w:szCs w:val="24"/>
          <w:lang w:eastAsia="tr-TR"/>
        </w:rPr>
      </w:pPr>
      <w:r w:rsidRPr="00D54771">
        <w:rPr>
          <w:rStyle w:val="apple-style-span"/>
          <w:rFonts w:ascii="Times" w:hAnsi="Times" w:cs="Times New Roman"/>
          <w:color w:val="000000"/>
          <w:sz w:val="24"/>
          <w:szCs w:val="24"/>
          <w:shd w:val="clear" w:color="auto" w:fill="FFFFFF"/>
        </w:rPr>
        <w:t>Asgari ücretlilerde geçtiğimiz yılın aynı ayına göre alım gücü kaybı</w:t>
      </w:r>
      <w:r w:rsidR="003E3F92">
        <w:rPr>
          <w:rStyle w:val="apple-style-span"/>
          <w:rFonts w:ascii="Times" w:hAnsi="Times" w:cs="Times New Roman"/>
          <w:color w:val="000000"/>
          <w:sz w:val="24"/>
          <w:szCs w:val="24"/>
          <w:shd w:val="clear" w:color="auto" w:fill="FFFFFF"/>
        </w:rPr>
        <w:t xml:space="preserve"> ise </w:t>
      </w:r>
      <w:r w:rsidRPr="00D54771">
        <w:rPr>
          <w:rStyle w:val="apple-style-span"/>
          <w:rFonts w:ascii="Times" w:hAnsi="Times" w:cs="Times New Roman"/>
          <w:color w:val="000000"/>
          <w:sz w:val="24"/>
          <w:szCs w:val="24"/>
          <w:shd w:val="clear" w:color="auto" w:fill="FFFFFF"/>
        </w:rPr>
        <w:t>bölgelere göre yüzde 1,8 ila yüzde 4,4 oranında değişiklik gösterdi. Asgari ücretlinin en çok alım gücü kaybı yaşadığı bölge yüzde 4,4 ile T</w:t>
      </w:r>
      <w:r w:rsidRPr="00D54771">
        <w:rPr>
          <w:rFonts w:ascii="Times" w:eastAsia="Times New Roman" w:hAnsi="Times" w:cs="Arial"/>
          <w:color w:val="000000"/>
          <w:sz w:val="24"/>
          <w:szCs w:val="24"/>
          <w:lang w:eastAsia="tr-TR"/>
        </w:rPr>
        <w:t>RC1 (Gaziantep, Adıyaman, Kilis) bölgesi olurken onu yüzde 4,1’lik kayıp ile TR81 (Zonguldak, Karabük, Bartın) bölgesi izledi. Ankara’da asgari ücretlilerin yaşadığı alım gücü kaybı ise yüzde 1,8 oldu</w:t>
      </w:r>
      <w:r w:rsidR="003E3F92">
        <w:rPr>
          <w:rFonts w:ascii="Times" w:eastAsia="Times New Roman" w:hAnsi="Times" w:cs="Arial"/>
          <w:color w:val="000000"/>
          <w:sz w:val="24"/>
          <w:szCs w:val="24"/>
          <w:lang w:eastAsia="tr-TR"/>
        </w:rPr>
        <w:t>.</w:t>
      </w:r>
    </w:p>
    <w:p w14:paraId="39CE978C" w14:textId="67194405" w:rsidR="003E3F92" w:rsidRDefault="003E3F92" w:rsidP="003B7209">
      <w:pPr>
        <w:spacing w:after="240" w:line="360" w:lineRule="auto"/>
        <w:ind w:left="0"/>
        <w:jc w:val="both"/>
        <w:rPr>
          <w:rFonts w:ascii="Times" w:eastAsia="Times New Roman" w:hAnsi="Times" w:cs="Arial"/>
          <w:color w:val="000000"/>
          <w:sz w:val="24"/>
          <w:szCs w:val="24"/>
          <w:lang w:eastAsia="tr-TR"/>
        </w:rPr>
      </w:pPr>
      <w:r>
        <w:rPr>
          <w:rFonts w:ascii="Times" w:eastAsia="Times New Roman" w:hAnsi="Times" w:cs="Arial"/>
          <w:color w:val="000000"/>
          <w:sz w:val="24"/>
          <w:szCs w:val="24"/>
          <w:lang w:eastAsia="tr-TR"/>
        </w:rPr>
        <w:t xml:space="preserve">Asgari ücrete geçtiğimiz yıl </w:t>
      </w:r>
      <w:proofErr w:type="gramStart"/>
      <w:r>
        <w:rPr>
          <w:rFonts w:ascii="Times" w:eastAsia="Times New Roman" w:hAnsi="Times" w:cs="Arial"/>
          <w:color w:val="000000"/>
          <w:sz w:val="24"/>
          <w:szCs w:val="24"/>
          <w:lang w:eastAsia="tr-TR"/>
        </w:rPr>
        <w:t>Aralık</w:t>
      </w:r>
      <w:proofErr w:type="gramEnd"/>
      <w:r>
        <w:rPr>
          <w:rFonts w:ascii="Times" w:eastAsia="Times New Roman" w:hAnsi="Times" w:cs="Arial"/>
          <w:color w:val="000000"/>
          <w:sz w:val="24"/>
          <w:szCs w:val="24"/>
          <w:lang w:eastAsia="tr-TR"/>
        </w:rPr>
        <w:t xml:space="preserve"> ayında </w:t>
      </w:r>
      <w:r w:rsidR="00B2388B">
        <w:rPr>
          <w:rFonts w:ascii="Times" w:eastAsia="Times New Roman" w:hAnsi="Times" w:cs="Arial"/>
          <w:color w:val="000000"/>
          <w:sz w:val="24"/>
          <w:szCs w:val="24"/>
          <w:lang w:eastAsia="tr-TR"/>
        </w:rPr>
        <w:t>2017 yılı için tek bir ücret</w:t>
      </w:r>
      <w:bookmarkStart w:id="0" w:name="_GoBack"/>
      <w:bookmarkEnd w:id="0"/>
      <w:r>
        <w:rPr>
          <w:rFonts w:ascii="Times" w:eastAsia="Times New Roman" w:hAnsi="Times" w:cs="Arial"/>
          <w:color w:val="000000"/>
          <w:sz w:val="24"/>
          <w:szCs w:val="24"/>
          <w:lang w:eastAsia="tr-TR"/>
        </w:rPr>
        <w:t xml:space="preserve"> artışı yapılmıştı. Ancak asgari ücretli yüksek enflasyon oranları karşısında her ay bir önceki yılın aynı dönemine göre alım gücü kaybı yaşamaya devam etti. </w:t>
      </w:r>
    </w:p>
    <w:p w14:paraId="665B5043" w14:textId="0042714F" w:rsidR="00AA4E47" w:rsidRPr="00302EA4" w:rsidRDefault="00AA4E47" w:rsidP="003B7209">
      <w:pPr>
        <w:spacing w:after="240" w:line="360" w:lineRule="auto"/>
        <w:ind w:left="0"/>
        <w:jc w:val="both"/>
        <w:rPr>
          <w:rStyle w:val="apple-style-span"/>
          <w:rFonts w:ascii="Times" w:hAnsi="Times"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 xml:space="preserve">ENFLASYON HESAPLAMASI </w:t>
      </w:r>
      <w:r w:rsidR="008D5CE1">
        <w:rPr>
          <w:rStyle w:val="apple-style-span"/>
          <w:rFonts w:ascii="Times New Roman" w:hAnsi="Times New Roman" w:cs="Times New Roman"/>
          <w:color w:val="000000"/>
          <w:sz w:val="24"/>
          <w:szCs w:val="24"/>
          <w:shd w:val="clear" w:color="auto" w:fill="FFFFFF"/>
        </w:rPr>
        <w:t>YOKSULLAŞMAYI GİZLEDİ</w:t>
      </w:r>
    </w:p>
    <w:p w14:paraId="5822FD05" w14:textId="77777777" w:rsidR="009A2782" w:rsidRDefault="003062AC" w:rsidP="003B7209">
      <w:pPr>
        <w:spacing w:after="240" w:line="360" w:lineRule="auto"/>
        <w:ind w:left="0"/>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BİSAM</w:t>
      </w:r>
      <w:r w:rsidR="00543F15">
        <w:rPr>
          <w:rStyle w:val="apple-style-span"/>
          <w:rFonts w:ascii="Times New Roman" w:hAnsi="Times New Roman" w:cs="Times New Roman"/>
          <w:color w:val="000000"/>
          <w:sz w:val="24"/>
          <w:szCs w:val="24"/>
          <w:shd w:val="clear" w:color="auto" w:fill="FFFFFF"/>
        </w:rPr>
        <w:t xml:space="preserve">, </w:t>
      </w:r>
      <w:r>
        <w:rPr>
          <w:rStyle w:val="apple-style-span"/>
          <w:rFonts w:ascii="Times New Roman" w:hAnsi="Times New Roman" w:cs="Times New Roman"/>
          <w:color w:val="000000"/>
          <w:sz w:val="24"/>
          <w:szCs w:val="24"/>
          <w:shd w:val="clear" w:color="auto" w:fill="FFFFFF"/>
        </w:rPr>
        <w:t>TÜİK Tüketim Harcama</w:t>
      </w:r>
      <w:r w:rsidR="009A2782">
        <w:rPr>
          <w:rStyle w:val="apple-style-span"/>
          <w:rFonts w:ascii="Times New Roman" w:hAnsi="Times New Roman" w:cs="Times New Roman"/>
          <w:color w:val="000000"/>
          <w:sz w:val="24"/>
          <w:szCs w:val="24"/>
          <w:shd w:val="clear" w:color="auto" w:fill="FFFFFF"/>
        </w:rPr>
        <w:t>ları İstatistikleri</w:t>
      </w:r>
      <w:r>
        <w:rPr>
          <w:rStyle w:val="apple-style-span"/>
          <w:rFonts w:ascii="Times New Roman" w:hAnsi="Times New Roman" w:cs="Times New Roman"/>
          <w:color w:val="000000"/>
          <w:sz w:val="24"/>
          <w:szCs w:val="24"/>
          <w:shd w:val="clear" w:color="auto" w:fill="FFFFFF"/>
        </w:rPr>
        <w:t xml:space="preserve"> ve </w:t>
      </w:r>
      <w:r w:rsidR="009A2782">
        <w:rPr>
          <w:rStyle w:val="apple-style-span"/>
          <w:rFonts w:ascii="Times New Roman" w:hAnsi="Times New Roman" w:cs="Times New Roman"/>
          <w:color w:val="000000"/>
          <w:sz w:val="24"/>
          <w:szCs w:val="24"/>
          <w:shd w:val="clear" w:color="auto" w:fill="FFFFFF"/>
        </w:rPr>
        <w:t>TÜİK Tüketici Fiyat Endeksi Harcama Gruplarına Göre Endeks Sonuçları</w:t>
      </w:r>
      <w:r w:rsidR="00543F15">
        <w:rPr>
          <w:rStyle w:val="apple-style-span"/>
          <w:rFonts w:ascii="Times New Roman" w:hAnsi="Times New Roman" w:cs="Times New Roman"/>
          <w:color w:val="000000"/>
          <w:sz w:val="24"/>
          <w:szCs w:val="24"/>
          <w:shd w:val="clear" w:color="auto" w:fill="FFFFFF"/>
        </w:rPr>
        <w:t>nı kullanarak farklı gelir grupları için enflasyon hesaplaması yapıyor</w:t>
      </w:r>
      <w:r w:rsidR="009A2782">
        <w:rPr>
          <w:rStyle w:val="apple-style-span"/>
          <w:rFonts w:ascii="Times New Roman" w:hAnsi="Times New Roman" w:cs="Times New Roman"/>
          <w:color w:val="000000"/>
          <w:sz w:val="24"/>
          <w:szCs w:val="24"/>
          <w:shd w:val="clear" w:color="auto" w:fill="FFFFFF"/>
        </w:rPr>
        <w:t xml:space="preserve">. </w:t>
      </w:r>
    </w:p>
    <w:p w14:paraId="51518B1F" w14:textId="77777777" w:rsidR="00235B3F" w:rsidRDefault="00543F15" w:rsidP="003B7209">
      <w:pPr>
        <w:spacing w:after="240" w:line="360" w:lineRule="auto"/>
        <w:ind w:left="0"/>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Bu</w:t>
      </w:r>
      <w:r w:rsidR="009A2782">
        <w:rPr>
          <w:rStyle w:val="apple-style-span"/>
          <w:rFonts w:ascii="Times New Roman" w:hAnsi="Times New Roman" w:cs="Times New Roman"/>
          <w:color w:val="000000"/>
          <w:sz w:val="24"/>
          <w:szCs w:val="24"/>
          <w:shd w:val="clear" w:color="auto" w:fill="FFFFFF"/>
        </w:rPr>
        <w:t xml:space="preserve"> hesaplamaya göre</w:t>
      </w:r>
      <w:r w:rsidR="00235B3F">
        <w:rPr>
          <w:rStyle w:val="apple-style-span"/>
          <w:rFonts w:ascii="Times New Roman" w:hAnsi="Times New Roman" w:cs="Times New Roman"/>
          <w:color w:val="000000"/>
          <w:sz w:val="24"/>
          <w:szCs w:val="24"/>
          <w:shd w:val="clear" w:color="auto" w:fill="FFFFFF"/>
        </w:rPr>
        <w:t xml:space="preserve"> enflasyon çeşitli gelir ve tüketim grupları için farklı sonuçlar yaratıyor</w:t>
      </w:r>
      <w:r w:rsidR="00C33C6F">
        <w:rPr>
          <w:rStyle w:val="apple-style-span"/>
          <w:rFonts w:ascii="Times New Roman" w:hAnsi="Times New Roman" w:cs="Times New Roman"/>
          <w:color w:val="000000"/>
          <w:sz w:val="24"/>
          <w:szCs w:val="24"/>
          <w:shd w:val="clear" w:color="auto" w:fill="FFFFFF"/>
        </w:rPr>
        <w:t>.</w:t>
      </w:r>
      <w:r w:rsidR="00235B3F">
        <w:rPr>
          <w:rStyle w:val="apple-style-span"/>
          <w:rFonts w:ascii="Times New Roman" w:hAnsi="Times New Roman" w:cs="Times New Roman"/>
          <w:color w:val="000000"/>
          <w:sz w:val="24"/>
          <w:szCs w:val="24"/>
          <w:shd w:val="clear" w:color="auto" w:fill="FFFFFF"/>
        </w:rPr>
        <w:t xml:space="preserve"> </w:t>
      </w:r>
      <w:r w:rsidR="00C33C6F">
        <w:rPr>
          <w:rStyle w:val="apple-style-span"/>
          <w:rFonts w:ascii="Times New Roman" w:hAnsi="Times New Roman" w:cs="Times New Roman"/>
          <w:color w:val="000000"/>
          <w:sz w:val="24"/>
          <w:szCs w:val="24"/>
          <w:shd w:val="clear" w:color="auto" w:fill="FFFFFF"/>
        </w:rPr>
        <w:t>B</w:t>
      </w:r>
      <w:r w:rsidR="00235B3F">
        <w:rPr>
          <w:rStyle w:val="apple-style-span"/>
          <w:rFonts w:ascii="Times New Roman" w:hAnsi="Times New Roman" w:cs="Times New Roman"/>
          <w:color w:val="000000"/>
          <w:sz w:val="24"/>
          <w:szCs w:val="24"/>
          <w:shd w:val="clear" w:color="auto" w:fill="FFFFFF"/>
        </w:rPr>
        <w:t>una göre;</w:t>
      </w:r>
    </w:p>
    <w:p w14:paraId="40530A17" w14:textId="1611A810" w:rsidR="00235B3F" w:rsidRDefault="007D5D09" w:rsidP="003B7209">
      <w:pPr>
        <w:pStyle w:val="ListeParagraf"/>
        <w:numPr>
          <w:ilvl w:val="0"/>
          <w:numId w:val="6"/>
        </w:numPr>
        <w:spacing w:after="240" w:line="360" w:lineRule="auto"/>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Ağustos</w:t>
      </w:r>
      <w:r w:rsidR="00235B3F">
        <w:rPr>
          <w:rStyle w:val="apple-style-span"/>
          <w:rFonts w:ascii="Times New Roman" w:hAnsi="Times New Roman" w:cs="Times New Roman"/>
          <w:color w:val="000000"/>
          <w:sz w:val="24"/>
          <w:szCs w:val="24"/>
          <w:shd w:val="clear" w:color="auto" w:fill="FFFFFF"/>
        </w:rPr>
        <w:t xml:space="preserve"> 2003-</w:t>
      </w:r>
      <w:r>
        <w:rPr>
          <w:rStyle w:val="apple-style-span"/>
          <w:rFonts w:ascii="Times New Roman" w:hAnsi="Times New Roman" w:cs="Times New Roman"/>
          <w:color w:val="000000"/>
          <w:sz w:val="24"/>
          <w:szCs w:val="24"/>
          <w:shd w:val="clear" w:color="auto" w:fill="FFFFFF"/>
        </w:rPr>
        <w:t>Ağustos</w:t>
      </w:r>
      <w:r w:rsidR="00F06125">
        <w:rPr>
          <w:rStyle w:val="apple-style-span"/>
          <w:rFonts w:ascii="Times New Roman" w:hAnsi="Times New Roman" w:cs="Times New Roman"/>
          <w:color w:val="000000"/>
          <w:sz w:val="24"/>
          <w:szCs w:val="24"/>
          <w:shd w:val="clear" w:color="auto" w:fill="FFFFFF"/>
        </w:rPr>
        <w:t xml:space="preserve"> </w:t>
      </w:r>
      <w:r w:rsidR="00235B3F">
        <w:rPr>
          <w:rStyle w:val="apple-style-span"/>
          <w:rFonts w:ascii="Times New Roman" w:hAnsi="Times New Roman" w:cs="Times New Roman"/>
          <w:color w:val="000000"/>
          <w:sz w:val="24"/>
          <w:szCs w:val="24"/>
          <w:shd w:val="clear" w:color="auto" w:fill="FFFFFF"/>
        </w:rPr>
        <w:t>201</w:t>
      </w:r>
      <w:r w:rsidR="00D85AE3">
        <w:rPr>
          <w:rStyle w:val="apple-style-span"/>
          <w:rFonts w:ascii="Times New Roman" w:hAnsi="Times New Roman" w:cs="Times New Roman"/>
          <w:color w:val="000000"/>
          <w:sz w:val="24"/>
          <w:szCs w:val="24"/>
          <w:shd w:val="clear" w:color="auto" w:fill="FFFFFF"/>
        </w:rPr>
        <w:t>7</w:t>
      </w:r>
      <w:r w:rsidR="00F06125">
        <w:rPr>
          <w:rStyle w:val="apple-style-span"/>
          <w:rFonts w:ascii="Times New Roman" w:hAnsi="Times New Roman" w:cs="Times New Roman"/>
          <w:color w:val="000000"/>
          <w:sz w:val="24"/>
          <w:szCs w:val="24"/>
          <w:shd w:val="clear" w:color="auto" w:fill="FFFFFF"/>
        </w:rPr>
        <w:t xml:space="preserve"> dönemleri arasında</w:t>
      </w:r>
      <w:r w:rsidR="00235B3F">
        <w:rPr>
          <w:rStyle w:val="apple-style-span"/>
          <w:rFonts w:ascii="Times New Roman" w:hAnsi="Times New Roman" w:cs="Times New Roman"/>
          <w:color w:val="000000"/>
          <w:sz w:val="24"/>
          <w:szCs w:val="24"/>
          <w:shd w:val="clear" w:color="auto" w:fill="FFFFFF"/>
        </w:rPr>
        <w:t xml:space="preserve"> genel TÜFE yüzde</w:t>
      </w:r>
      <w:r w:rsidR="00B1593B">
        <w:rPr>
          <w:rStyle w:val="apple-style-span"/>
          <w:rFonts w:ascii="Times New Roman" w:hAnsi="Times New Roman" w:cs="Times New Roman"/>
          <w:color w:val="000000"/>
          <w:sz w:val="24"/>
          <w:szCs w:val="24"/>
          <w:shd w:val="clear" w:color="auto" w:fill="FFFFFF"/>
        </w:rPr>
        <w:t xml:space="preserve"> </w:t>
      </w:r>
      <w:r>
        <w:rPr>
          <w:rStyle w:val="apple-style-span"/>
          <w:rFonts w:ascii="Times New Roman" w:hAnsi="Times New Roman" w:cs="Times New Roman"/>
          <w:color w:val="000000"/>
          <w:sz w:val="24"/>
          <w:szCs w:val="24"/>
          <w:shd w:val="clear" w:color="auto" w:fill="FFFFFF"/>
        </w:rPr>
        <w:t>212</w:t>
      </w:r>
      <w:r w:rsidR="008E18E7">
        <w:rPr>
          <w:rStyle w:val="apple-style-span"/>
          <w:rFonts w:ascii="Times New Roman" w:hAnsi="Times New Roman" w:cs="Times New Roman"/>
          <w:color w:val="000000"/>
          <w:sz w:val="24"/>
          <w:szCs w:val="24"/>
          <w:shd w:val="clear" w:color="auto" w:fill="FFFFFF"/>
        </w:rPr>
        <w:t xml:space="preserve"> </w:t>
      </w:r>
      <w:r w:rsidR="00FE05BE">
        <w:rPr>
          <w:rStyle w:val="apple-style-span"/>
          <w:rFonts w:ascii="Times New Roman" w:hAnsi="Times New Roman" w:cs="Times New Roman"/>
          <w:color w:val="000000"/>
          <w:sz w:val="24"/>
          <w:szCs w:val="24"/>
          <w:shd w:val="clear" w:color="auto" w:fill="FFFFFF"/>
        </w:rPr>
        <w:t>artış gösterirken</w:t>
      </w:r>
      <w:r w:rsidR="00235B3F">
        <w:rPr>
          <w:rStyle w:val="apple-style-span"/>
          <w:rFonts w:ascii="Times New Roman" w:hAnsi="Times New Roman" w:cs="Times New Roman"/>
          <w:color w:val="000000"/>
          <w:sz w:val="24"/>
          <w:szCs w:val="24"/>
          <w:shd w:val="clear" w:color="auto" w:fill="FFFFFF"/>
        </w:rPr>
        <w:t xml:space="preserve"> bu oran düzenli ücretlilerde yüzde </w:t>
      </w:r>
      <w:r w:rsidR="00F45E67">
        <w:rPr>
          <w:rStyle w:val="apple-style-span"/>
          <w:rFonts w:ascii="Times New Roman" w:hAnsi="Times New Roman" w:cs="Times New Roman"/>
          <w:color w:val="000000"/>
          <w:sz w:val="24"/>
          <w:szCs w:val="24"/>
          <w:shd w:val="clear" w:color="auto" w:fill="FFFFFF"/>
        </w:rPr>
        <w:t>23</w:t>
      </w:r>
      <w:r w:rsidR="00641F45">
        <w:rPr>
          <w:rStyle w:val="apple-style-span"/>
          <w:rFonts w:ascii="Times New Roman" w:hAnsi="Times New Roman" w:cs="Times New Roman"/>
          <w:color w:val="000000"/>
          <w:sz w:val="24"/>
          <w:szCs w:val="24"/>
          <w:shd w:val="clear" w:color="auto" w:fill="FFFFFF"/>
        </w:rPr>
        <w:t>2</w:t>
      </w:r>
      <w:r w:rsidR="00235B3F">
        <w:rPr>
          <w:rStyle w:val="apple-style-span"/>
          <w:rFonts w:ascii="Times New Roman" w:hAnsi="Times New Roman" w:cs="Times New Roman"/>
          <w:color w:val="000000"/>
          <w:sz w:val="24"/>
          <w:szCs w:val="24"/>
          <w:shd w:val="clear" w:color="auto" w:fill="FFFFFF"/>
        </w:rPr>
        <w:t xml:space="preserve">, </w:t>
      </w:r>
    </w:p>
    <w:p w14:paraId="4CB6E86D" w14:textId="64B5A874" w:rsidR="00235B3F" w:rsidRDefault="009C521B" w:rsidP="003B7209">
      <w:pPr>
        <w:pStyle w:val="ListeParagraf"/>
        <w:numPr>
          <w:ilvl w:val="0"/>
          <w:numId w:val="6"/>
        </w:numPr>
        <w:spacing w:after="240" w:line="360" w:lineRule="auto"/>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 xml:space="preserve">Yevmiyeli çalışanlar </w:t>
      </w:r>
      <w:r w:rsidR="00235B3F">
        <w:rPr>
          <w:rStyle w:val="apple-style-span"/>
          <w:rFonts w:ascii="Times New Roman" w:hAnsi="Times New Roman" w:cs="Times New Roman"/>
          <w:color w:val="000000"/>
          <w:sz w:val="24"/>
          <w:szCs w:val="24"/>
          <w:shd w:val="clear" w:color="auto" w:fill="FFFFFF"/>
        </w:rPr>
        <w:t xml:space="preserve">için yüzde </w:t>
      </w:r>
      <w:r w:rsidR="007D5D09">
        <w:rPr>
          <w:rStyle w:val="apple-style-span"/>
          <w:rFonts w:ascii="Times New Roman" w:hAnsi="Times New Roman" w:cs="Times New Roman"/>
          <w:color w:val="000000"/>
          <w:sz w:val="24"/>
          <w:szCs w:val="24"/>
          <w:shd w:val="clear" w:color="auto" w:fill="FFFFFF"/>
        </w:rPr>
        <w:t>246</w:t>
      </w:r>
      <w:r w:rsidR="00235B3F">
        <w:rPr>
          <w:rStyle w:val="apple-style-span"/>
          <w:rFonts w:ascii="Times New Roman" w:hAnsi="Times New Roman" w:cs="Times New Roman"/>
          <w:color w:val="000000"/>
          <w:sz w:val="24"/>
          <w:szCs w:val="24"/>
          <w:shd w:val="clear" w:color="auto" w:fill="FFFFFF"/>
        </w:rPr>
        <w:t xml:space="preserve">, </w:t>
      </w:r>
    </w:p>
    <w:p w14:paraId="1FFF6FCC" w14:textId="265E3531" w:rsidR="00235B3F" w:rsidRPr="00235B3F" w:rsidRDefault="00834437" w:rsidP="003B7209">
      <w:pPr>
        <w:pStyle w:val="ListeParagraf"/>
        <w:numPr>
          <w:ilvl w:val="0"/>
          <w:numId w:val="6"/>
        </w:numPr>
        <w:spacing w:after="240" w:line="360" w:lineRule="auto"/>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lastRenderedPageBreak/>
        <w:t>Emekli</w:t>
      </w:r>
      <w:r w:rsidR="009C521B">
        <w:rPr>
          <w:rStyle w:val="apple-style-span"/>
          <w:rFonts w:ascii="Times New Roman" w:hAnsi="Times New Roman" w:cs="Times New Roman"/>
          <w:color w:val="000000"/>
          <w:sz w:val="24"/>
          <w:szCs w:val="24"/>
          <w:shd w:val="clear" w:color="auto" w:fill="FFFFFF"/>
        </w:rPr>
        <w:t xml:space="preserve"> aylığı ile geçinenlerde</w:t>
      </w:r>
      <w:r>
        <w:rPr>
          <w:rStyle w:val="apple-style-span"/>
          <w:rFonts w:ascii="Times New Roman" w:hAnsi="Times New Roman" w:cs="Times New Roman"/>
          <w:color w:val="000000"/>
          <w:sz w:val="24"/>
          <w:szCs w:val="24"/>
          <w:shd w:val="clear" w:color="auto" w:fill="FFFFFF"/>
        </w:rPr>
        <w:t xml:space="preserve"> </w:t>
      </w:r>
      <w:r w:rsidR="00C73C95">
        <w:rPr>
          <w:rStyle w:val="apple-style-span"/>
          <w:rFonts w:ascii="Times New Roman" w:hAnsi="Times New Roman" w:cs="Times New Roman"/>
          <w:color w:val="000000"/>
          <w:sz w:val="24"/>
          <w:szCs w:val="24"/>
          <w:shd w:val="clear" w:color="auto" w:fill="FFFFFF"/>
        </w:rPr>
        <w:t>yüzde</w:t>
      </w:r>
      <w:r>
        <w:rPr>
          <w:rStyle w:val="apple-style-span"/>
          <w:rFonts w:ascii="Times New Roman" w:hAnsi="Times New Roman" w:cs="Times New Roman"/>
          <w:color w:val="000000"/>
          <w:sz w:val="24"/>
          <w:szCs w:val="24"/>
          <w:shd w:val="clear" w:color="auto" w:fill="FFFFFF"/>
        </w:rPr>
        <w:t xml:space="preserve"> </w:t>
      </w:r>
      <w:r w:rsidR="00F45E67">
        <w:rPr>
          <w:rStyle w:val="apple-style-span"/>
          <w:rFonts w:ascii="Times New Roman" w:hAnsi="Times New Roman" w:cs="Times New Roman"/>
          <w:color w:val="000000"/>
          <w:sz w:val="24"/>
          <w:szCs w:val="24"/>
          <w:shd w:val="clear" w:color="auto" w:fill="FFFFFF"/>
        </w:rPr>
        <w:t>238</w:t>
      </w:r>
      <w:r w:rsidR="00844A7C">
        <w:rPr>
          <w:rStyle w:val="apple-style-span"/>
          <w:rFonts w:ascii="Times New Roman" w:hAnsi="Times New Roman" w:cs="Times New Roman"/>
          <w:color w:val="000000"/>
          <w:sz w:val="24"/>
          <w:szCs w:val="24"/>
          <w:shd w:val="clear" w:color="auto" w:fill="FFFFFF"/>
        </w:rPr>
        <w:t>,</w:t>
      </w:r>
    </w:p>
    <w:p w14:paraId="2570A28D" w14:textId="7E4D2FAA" w:rsidR="00235B3F" w:rsidRDefault="00235B3F" w:rsidP="003B7209">
      <w:pPr>
        <w:pStyle w:val="ListeParagraf"/>
        <w:numPr>
          <w:ilvl w:val="0"/>
          <w:numId w:val="6"/>
        </w:numPr>
        <w:spacing w:after="240" w:line="360" w:lineRule="auto"/>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 xml:space="preserve">Nüfusun en yoksul </w:t>
      </w:r>
      <w:r w:rsidR="00C73C95">
        <w:rPr>
          <w:rStyle w:val="apple-style-span"/>
          <w:rFonts w:ascii="Times New Roman" w:hAnsi="Times New Roman" w:cs="Times New Roman"/>
          <w:color w:val="000000"/>
          <w:sz w:val="24"/>
          <w:szCs w:val="24"/>
          <w:shd w:val="clear" w:color="auto" w:fill="FFFFFF"/>
        </w:rPr>
        <w:t>yüzde</w:t>
      </w:r>
      <w:r>
        <w:rPr>
          <w:rStyle w:val="apple-style-span"/>
          <w:rFonts w:ascii="Times New Roman" w:hAnsi="Times New Roman" w:cs="Times New Roman"/>
          <w:color w:val="000000"/>
          <w:sz w:val="24"/>
          <w:szCs w:val="24"/>
          <w:shd w:val="clear" w:color="auto" w:fill="FFFFFF"/>
        </w:rPr>
        <w:t xml:space="preserve"> 20’lik kesimi</w:t>
      </w:r>
      <w:r w:rsidR="00F45E67">
        <w:rPr>
          <w:rStyle w:val="apple-style-span"/>
          <w:rFonts w:ascii="Times New Roman" w:hAnsi="Times New Roman" w:cs="Times New Roman"/>
          <w:color w:val="000000"/>
          <w:sz w:val="24"/>
          <w:szCs w:val="24"/>
          <w:shd w:val="clear" w:color="auto" w:fill="FFFFFF"/>
        </w:rPr>
        <w:t>nde</w:t>
      </w:r>
      <w:r>
        <w:rPr>
          <w:rStyle w:val="apple-style-span"/>
          <w:rFonts w:ascii="Times New Roman" w:hAnsi="Times New Roman" w:cs="Times New Roman"/>
          <w:color w:val="000000"/>
          <w:sz w:val="24"/>
          <w:szCs w:val="24"/>
          <w:shd w:val="clear" w:color="auto" w:fill="FFFFFF"/>
        </w:rPr>
        <w:t xml:space="preserve"> </w:t>
      </w:r>
      <w:r w:rsidR="00F06125">
        <w:rPr>
          <w:rStyle w:val="apple-style-span"/>
          <w:rFonts w:ascii="Times New Roman" w:hAnsi="Times New Roman" w:cs="Times New Roman"/>
          <w:color w:val="000000"/>
          <w:sz w:val="24"/>
          <w:szCs w:val="24"/>
          <w:shd w:val="clear" w:color="auto" w:fill="FFFFFF"/>
        </w:rPr>
        <w:t>yüzde</w:t>
      </w:r>
      <w:r>
        <w:rPr>
          <w:rStyle w:val="apple-style-span"/>
          <w:rFonts w:ascii="Times New Roman" w:hAnsi="Times New Roman" w:cs="Times New Roman"/>
          <w:color w:val="000000"/>
          <w:sz w:val="24"/>
          <w:szCs w:val="24"/>
          <w:shd w:val="clear" w:color="auto" w:fill="FFFFFF"/>
        </w:rPr>
        <w:t xml:space="preserve"> </w:t>
      </w:r>
      <w:r w:rsidR="00641F45">
        <w:rPr>
          <w:rStyle w:val="apple-style-span"/>
          <w:rFonts w:ascii="Times New Roman" w:hAnsi="Times New Roman" w:cs="Times New Roman"/>
          <w:color w:val="000000"/>
          <w:sz w:val="24"/>
          <w:szCs w:val="24"/>
          <w:shd w:val="clear" w:color="auto" w:fill="FFFFFF"/>
        </w:rPr>
        <w:t>242</w:t>
      </w:r>
      <w:r>
        <w:rPr>
          <w:rStyle w:val="apple-style-span"/>
          <w:rFonts w:ascii="Times New Roman" w:hAnsi="Times New Roman" w:cs="Times New Roman"/>
          <w:color w:val="000000"/>
          <w:sz w:val="24"/>
          <w:szCs w:val="24"/>
          <w:shd w:val="clear" w:color="auto" w:fill="FFFFFF"/>
        </w:rPr>
        <w:t xml:space="preserve"> oldu. En zengin </w:t>
      </w:r>
      <w:r w:rsidR="00F06125">
        <w:rPr>
          <w:rStyle w:val="apple-style-span"/>
          <w:rFonts w:ascii="Times New Roman" w:hAnsi="Times New Roman" w:cs="Times New Roman"/>
          <w:color w:val="000000"/>
          <w:sz w:val="24"/>
          <w:szCs w:val="24"/>
          <w:shd w:val="clear" w:color="auto" w:fill="FFFFFF"/>
        </w:rPr>
        <w:t>yüzde</w:t>
      </w:r>
      <w:r>
        <w:rPr>
          <w:rStyle w:val="apple-style-span"/>
          <w:rFonts w:ascii="Times New Roman" w:hAnsi="Times New Roman" w:cs="Times New Roman"/>
          <w:color w:val="000000"/>
          <w:sz w:val="24"/>
          <w:szCs w:val="24"/>
          <w:shd w:val="clear" w:color="auto" w:fill="FFFFFF"/>
        </w:rPr>
        <w:t xml:space="preserve"> 20’lik dilim için ise enflasyon yüzde </w:t>
      </w:r>
      <w:r w:rsidR="007D5D09">
        <w:rPr>
          <w:rStyle w:val="apple-style-span"/>
          <w:rFonts w:ascii="Times New Roman" w:hAnsi="Times New Roman" w:cs="Times New Roman"/>
          <w:color w:val="000000"/>
          <w:sz w:val="24"/>
          <w:szCs w:val="24"/>
          <w:shd w:val="clear" w:color="auto" w:fill="FFFFFF"/>
        </w:rPr>
        <w:t>227</w:t>
      </w:r>
      <w:r w:rsidR="00FE05BE">
        <w:rPr>
          <w:rStyle w:val="apple-style-span"/>
          <w:rFonts w:ascii="Times New Roman" w:hAnsi="Times New Roman" w:cs="Times New Roman"/>
          <w:color w:val="000000"/>
          <w:sz w:val="24"/>
          <w:szCs w:val="24"/>
          <w:shd w:val="clear" w:color="auto" w:fill="FFFFFF"/>
        </w:rPr>
        <w:t xml:space="preserve"> olarak gerçekleşti</w:t>
      </w:r>
      <w:r>
        <w:rPr>
          <w:rStyle w:val="apple-style-span"/>
          <w:rFonts w:ascii="Times New Roman" w:hAnsi="Times New Roman" w:cs="Times New Roman"/>
          <w:color w:val="000000"/>
          <w:sz w:val="24"/>
          <w:szCs w:val="24"/>
          <w:shd w:val="clear" w:color="auto" w:fill="FFFFFF"/>
        </w:rPr>
        <w:t xml:space="preserve">. Buna göre enflasyon </w:t>
      </w:r>
      <w:r w:rsidR="00641F45">
        <w:rPr>
          <w:rStyle w:val="apple-style-span"/>
          <w:rFonts w:ascii="Times New Roman" w:hAnsi="Times New Roman" w:cs="Times New Roman"/>
          <w:color w:val="000000"/>
          <w:sz w:val="24"/>
          <w:szCs w:val="24"/>
          <w:shd w:val="clear" w:color="auto" w:fill="FFFFFF"/>
        </w:rPr>
        <w:t xml:space="preserve">hesaplaması </w:t>
      </w:r>
      <w:r>
        <w:rPr>
          <w:rStyle w:val="apple-style-span"/>
          <w:rFonts w:ascii="Times New Roman" w:hAnsi="Times New Roman" w:cs="Times New Roman"/>
          <w:color w:val="000000"/>
          <w:sz w:val="24"/>
          <w:szCs w:val="24"/>
          <w:shd w:val="clear" w:color="auto" w:fill="FFFFFF"/>
        </w:rPr>
        <w:t xml:space="preserve">yoksulu daha </w:t>
      </w:r>
      <w:r w:rsidR="00641F45">
        <w:rPr>
          <w:rStyle w:val="apple-style-span"/>
          <w:rFonts w:ascii="Times New Roman" w:hAnsi="Times New Roman" w:cs="Times New Roman"/>
          <w:color w:val="000000"/>
          <w:sz w:val="24"/>
          <w:szCs w:val="24"/>
          <w:shd w:val="clear" w:color="auto" w:fill="FFFFFF"/>
        </w:rPr>
        <w:t>da yoksullaştırdı.</w:t>
      </w:r>
    </w:p>
    <w:p w14:paraId="6D18D2F6" w14:textId="619F9A0B" w:rsidR="003B7209" w:rsidRDefault="00336F76" w:rsidP="003B7209">
      <w:pPr>
        <w:spacing w:after="240" w:line="360" w:lineRule="auto"/>
        <w:ind w:left="0"/>
        <w:jc w:val="both"/>
        <w:rPr>
          <w:rFonts w:ascii="Times New Roman" w:hAnsi="Times New Roman" w:cs="Times New Roman"/>
          <w:sz w:val="24"/>
          <w:szCs w:val="24"/>
        </w:rPr>
      </w:pPr>
      <w:r>
        <w:rPr>
          <w:rStyle w:val="apple-style-span"/>
          <w:rFonts w:ascii="Times New Roman" w:hAnsi="Times New Roman" w:cs="Times New Roman"/>
          <w:color w:val="000000"/>
          <w:sz w:val="24"/>
          <w:szCs w:val="24"/>
          <w:shd w:val="clear" w:color="auto" w:fill="FFFFFF"/>
        </w:rPr>
        <w:t xml:space="preserve">BİSAM tarafından </w:t>
      </w:r>
      <w:r w:rsidR="007D5D09">
        <w:rPr>
          <w:rStyle w:val="apple-style-span"/>
          <w:rFonts w:ascii="Times New Roman" w:hAnsi="Times New Roman" w:cs="Times New Roman"/>
          <w:color w:val="000000"/>
          <w:sz w:val="24"/>
          <w:szCs w:val="24"/>
          <w:shd w:val="clear" w:color="auto" w:fill="FFFFFF"/>
        </w:rPr>
        <w:t>Ağustos</w:t>
      </w:r>
      <w:r>
        <w:rPr>
          <w:rStyle w:val="apple-style-span"/>
          <w:rFonts w:ascii="Times New Roman" w:hAnsi="Times New Roman" w:cs="Times New Roman"/>
          <w:color w:val="000000"/>
          <w:sz w:val="24"/>
          <w:szCs w:val="24"/>
          <w:shd w:val="clear" w:color="auto" w:fill="FFFFFF"/>
        </w:rPr>
        <w:t xml:space="preserve"> 2003-</w:t>
      </w:r>
      <w:r w:rsidR="007D5D09">
        <w:rPr>
          <w:rStyle w:val="apple-style-span"/>
          <w:rFonts w:ascii="Times New Roman" w:hAnsi="Times New Roman" w:cs="Times New Roman"/>
          <w:color w:val="000000"/>
          <w:sz w:val="24"/>
          <w:szCs w:val="24"/>
          <w:shd w:val="clear" w:color="auto" w:fill="FFFFFF"/>
        </w:rPr>
        <w:t>Ağustos</w:t>
      </w:r>
      <w:r>
        <w:rPr>
          <w:rStyle w:val="apple-style-span"/>
          <w:rFonts w:ascii="Times New Roman" w:hAnsi="Times New Roman" w:cs="Times New Roman"/>
          <w:color w:val="000000"/>
          <w:sz w:val="24"/>
          <w:szCs w:val="24"/>
          <w:shd w:val="clear" w:color="auto" w:fill="FFFFFF"/>
        </w:rPr>
        <w:t xml:space="preserve"> 201</w:t>
      </w:r>
      <w:r w:rsidR="00D85AE3">
        <w:rPr>
          <w:rStyle w:val="apple-style-span"/>
          <w:rFonts w:ascii="Times New Roman" w:hAnsi="Times New Roman" w:cs="Times New Roman"/>
          <w:color w:val="000000"/>
          <w:sz w:val="24"/>
          <w:szCs w:val="24"/>
          <w:shd w:val="clear" w:color="auto" w:fill="FFFFFF"/>
        </w:rPr>
        <w:t>7</w:t>
      </w:r>
      <w:r>
        <w:rPr>
          <w:rStyle w:val="apple-style-span"/>
          <w:rFonts w:ascii="Times New Roman" w:hAnsi="Times New Roman" w:cs="Times New Roman"/>
          <w:color w:val="000000"/>
          <w:sz w:val="24"/>
          <w:szCs w:val="24"/>
          <w:shd w:val="clear" w:color="auto" w:fill="FFFFFF"/>
        </w:rPr>
        <w:t xml:space="preserve"> dönemlerine göre gizli yoksullaşma oranları da hesaplandı. </w:t>
      </w:r>
      <w:r w:rsidR="003B7209">
        <w:rPr>
          <w:rStyle w:val="apple-style-span"/>
          <w:rFonts w:ascii="Times New Roman" w:hAnsi="Times New Roman" w:cs="Times New Roman"/>
          <w:color w:val="000000"/>
          <w:sz w:val="24"/>
          <w:szCs w:val="24"/>
          <w:shd w:val="clear" w:color="auto" w:fill="FFFFFF"/>
        </w:rPr>
        <w:t>Gizli yoksullaşma genel enflasyon rakamları ile farklı</w:t>
      </w:r>
      <w:r w:rsidR="00F45E67">
        <w:rPr>
          <w:rStyle w:val="apple-style-span"/>
          <w:rFonts w:ascii="Times New Roman" w:hAnsi="Times New Roman" w:cs="Times New Roman"/>
          <w:color w:val="000000"/>
          <w:sz w:val="24"/>
          <w:szCs w:val="24"/>
          <w:shd w:val="clear" w:color="auto" w:fill="FFFFFF"/>
        </w:rPr>
        <w:t xml:space="preserve"> gelir</w:t>
      </w:r>
      <w:r w:rsidR="003B7209">
        <w:rPr>
          <w:rStyle w:val="apple-style-span"/>
          <w:rFonts w:ascii="Times New Roman" w:hAnsi="Times New Roman" w:cs="Times New Roman"/>
          <w:color w:val="000000"/>
          <w:sz w:val="24"/>
          <w:szCs w:val="24"/>
          <w:shd w:val="clear" w:color="auto" w:fill="FFFFFF"/>
        </w:rPr>
        <w:t xml:space="preserve"> grupların</w:t>
      </w:r>
      <w:r w:rsidR="00F45E67">
        <w:rPr>
          <w:rStyle w:val="apple-style-span"/>
          <w:rFonts w:ascii="Times New Roman" w:hAnsi="Times New Roman" w:cs="Times New Roman"/>
          <w:color w:val="000000"/>
          <w:sz w:val="24"/>
          <w:szCs w:val="24"/>
          <w:shd w:val="clear" w:color="auto" w:fill="FFFFFF"/>
        </w:rPr>
        <w:t>ın</w:t>
      </w:r>
      <w:r w:rsidR="003B7209">
        <w:rPr>
          <w:rStyle w:val="apple-style-span"/>
          <w:rFonts w:ascii="Times New Roman" w:hAnsi="Times New Roman" w:cs="Times New Roman"/>
          <w:color w:val="000000"/>
          <w:sz w:val="24"/>
          <w:szCs w:val="24"/>
          <w:shd w:val="clear" w:color="auto" w:fill="FFFFFF"/>
        </w:rPr>
        <w:t xml:space="preserve"> enflasyonlarının arasındaki farktan kaynaklanan ve kayıtlara yansımayan yoksullaşma düzeyini ortaya koyuyor.</w:t>
      </w:r>
    </w:p>
    <w:p w14:paraId="599F9264" w14:textId="10018F29" w:rsidR="00D54771" w:rsidRPr="00302EA4" w:rsidRDefault="00336F76" w:rsidP="00302EA4">
      <w:pPr>
        <w:spacing w:after="240" w:line="360" w:lineRule="auto"/>
        <w:ind w:left="0"/>
        <w:jc w:val="both"/>
        <w:rPr>
          <w:rStyle w:val="apple-style-span"/>
          <w:rFonts w:ascii="Times New Roman" w:hAnsi="Times New Roman" w:cs="Times New Roman"/>
          <w:sz w:val="24"/>
          <w:szCs w:val="24"/>
        </w:rPr>
      </w:pPr>
      <w:r>
        <w:rPr>
          <w:rFonts w:ascii="Times New Roman" w:hAnsi="Times New Roman" w:cs="Times New Roman"/>
          <w:sz w:val="24"/>
          <w:szCs w:val="24"/>
        </w:rPr>
        <w:t xml:space="preserve">Buna göre </w:t>
      </w:r>
      <w:r w:rsidR="00473BC1">
        <w:rPr>
          <w:rFonts w:ascii="Times New Roman" w:hAnsi="Times New Roman" w:cs="Times New Roman"/>
          <w:sz w:val="24"/>
          <w:szCs w:val="24"/>
        </w:rPr>
        <w:t>son 14</w:t>
      </w:r>
      <w:r w:rsidR="00F06125">
        <w:rPr>
          <w:rFonts w:ascii="Times New Roman" w:hAnsi="Times New Roman" w:cs="Times New Roman"/>
          <w:sz w:val="24"/>
          <w:szCs w:val="24"/>
        </w:rPr>
        <w:t xml:space="preserve"> yıllık dönemde (</w:t>
      </w:r>
      <w:r w:rsidR="007D5D09">
        <w:rPr>
          <w:rStyle w:val="apple-style-span"/>
          <w:rFonts w:ascii="Times New Roman" w:hAnsi="Times New Roman" w:cs="Times New Roman"/>
          <w:color w:val="000000"/>
          <w:sz w:val="24"/>
          <w:szCs w:val="24"/>
          <w:shd w:val="clear" w:color="auto" w:fill="FFFFFF"/>
        </w:rPr>
        <w:t>Ağustos</w:t>
      </w:r>
      <w:r w:rsidR="00020057">
        <w:rPr>
          <w:rStyle w:val="apple-style-span"/>
          <w:rFonts w:ascii="Times New Roman" w:hAnsi="Times New Roman" w:cs="Times New Roman"/>
          <w:color w:val="000000"/>
          <w:sz w:val="24"/>
          <w:szCs w:val="24"/>
          <w:shd w:val="clear" w:color="auto" w:fill="FFFFFF"/>
        </w:rPr>
        <w:t xml:space="preserve"> 2003-</w:t>
      </w:r>
      <w:r w:rsidR="007D5D09">
        <w:rPr>
          <w:rStyle w:val="apple-style-span"/>
          <w:rFonts w:ascii="Times New Roman" w:hAnsi="Times New Roman" w:cs="Times New Roman"/>
          <w:color w:val="000000"/>
          <w:sz w:val="24"/>
          <w:szCs w:val="24"/>
          <w:shd w:val="clear" w:color="auto" w:fill="FFFFFF"/>
        </w:rPr>
        <w:t>Ağustos</w:t>
      </w:r>
      <w:r w:rsidR="00020057">
        <w:rPr>
          <w:rStyle w:val="apple-style-span"/>
          <w:rFonts w:ascii="Times New Roman" w:hAnsi="Times New Roman" w:cs="Times New Roman"/>
          <w:color w:val="000000"/>
          <w:sz w:val="24"/>
          <w:szCs w:val="24"/>
          <w:shd w:val="clear" w:color="auto" w:fill="FFFFFF"/>
        </w:rPr>
        <w:t xml:space="preserve"> 201</w:t>
      </w:r>
      <w:r w:rsidR="00D85AE3">
        <w:rPr>
          <w:rStyle w:val="apple-style-span"/>
          <w:rFonts w:ascii="Times New Roman" w:hAnsi="Times New Roman" w:cs="Times New Roman"/>
          <w:color w:val="000000"/>
          <w:sz w:val="24"/>
          <w:szCs w:val="24"/>
          <w:shd w:val="clear" w:color="auto" w:fill="FFFFFF"/>
        </w:rPr>
        <w:t>7</w:t>
      </w:r>
      <w:r w:rsidR="00F06125">
        <w:rPr>
          <w:rFonts w:ascii="Times New Roman" w:hAnsi="Times New Roman" w:cs="Times New Roman"/>
          <w:sz w:val="24"/>
          <w:szCs w:val="24"/>
        </w:rPr>
        <w:t>) gizli yoksu</w:t>
      </w:r>
      <w:r w:rsidR="00844A7C">
        <w:rPr>
          <w:rFonts w:ascii="Times New Roman" w:hAnsi="Times New Roman" w:cs="Times New Roman"/>
          <w:sz w:val="24"/>
          <w:szCs w:val="24"/>
        </w:rPr>
        <w:t>l</w:t>
      </w:r>
      <w:r w:rsidR="00F06125">
        <w:rPr>
          <w:rFonts w:ascii="Times New Roman" w:hAnsi="Times New Roman" w:cs="Times New Roman"/>
          <w:sz w:val="24"/>
          <w:szCs w:val="24"/>
        </w:rPr>
        <w:t>laşmayı en yoğun olarak yaşayanlar</w:t>
      </w:r>
      <w:r w:rsidR="003B7209">
        <w:rPr>
          <w:rFonts w:ascii="Times New Roman" w:hAnsi="Times New Roman" w:cs="Times New Roman"/>
          <w:sz w:val="24"/>
          <w:szCs w:val="24"/>
        </w:rPr>
        <w:t>,</w:t>
      </w:r>
      <w:r w:rsidR="00F06125">
        <w:rPr>
          <w:rFonts w:ascii="Times New Roman" w:hAnsi="Times New Roman" w:cs="Times New Roman"/>
          <w:sz w:val="24"/>
          <w:szCs w:val="24"/>
        </w:rPr>
        <w:t xml:space="preserve"> işteki duruma göre yüzde </w:t>
      </w:r>
      <w:r w:rsidR="007D5D09">
        <w:rPr>
          <w:rFonts w:ascii="Times New Roman" w:hAnsi="Times New Roman" w:cs="Times New Roman"/>
          <w:sz w:val="24"/>
          <w:szCs w:val="24"/>
        </w:rPr>
        <w:t>11</w:t>
      </w:r>
      <w:r w:rsidR="00F06125">
        <w:rPr>
          <w:rFonts w:ascii="Times New Roman" w:hAnsi="Times New Roman" w:cs="Times New Roman"/>
          <w:sz w:val="24"/>
          <w:szCs w:val="24"/>
        </w:rPr>
        <w:t xml:space="preserve"> </w:t>
      </w:r>
      <w:r w:rsidR="00D762DC">
        <w:rPr>
          <w:rFonts w:ascii="Times New Roman" w:hAnsi="Times New Roman" w:cs="Times New Roman"/>
          <w:sz w:val="24"/>
          <w:szCs w:val="24"/>
        </w:rPr>
        <w:t>ile</w:t>
      </w:r>
      <w:r w:rsidR="00F06125">
        <w:rPr>
          <w:rFonts w:ascii="Times New Roman" w:hAnsi="Times New Roman" w:cs="Times New Roman"/>
          <w:sz w:val="24"/>
          <w:szCs w:val="24"/>
        </w:rPr>
        <w:t xml:space="preserve"> </w:t>
      </w:r>
      <w:r w:rsidR="00AC6659">
        <w:rPr>
          <w:rFonts w:ascii="Times New Roman" w:hAnsi="Times New Roman" w:cs="Times New Roman"/>
          <w:sz w:val="24"/>
          <w:szCs w:val="24"/>
        </w:rPr>
        <w:t>“Y</w:t>
      </w:r>
      <w:r w:rsidR="00F06125">
        <w:rPr>
          <w:rFonts w:ascii="Times New Roman" w:hAnsi="Times New Roman" w:cs="Times New Roman"/>
          <w:sz w:val="24"/>
          <w:szCs w:val="24"/>
        </w:rPr>
        <w:t>evmiyeliler</w:t>
      </w:r>
      <w:r w:rsidR="00AC6659">
        <w:rPr>
          <w:rFonts w:ascii="Times New Roman" w:hAnsi="Times New Roman" w:cs="Times New Roman"/>
          <w:sz w:val="24"/>
          <w:szCs w:val="24"/>
        </w:rPr>
        <w:t>”</w:t>
      </w:r>
      <w:r w:rsidR="00F06125">
        <w:rPr>
          <w:rFonts w:ascii="Times New Roman" w:hAnsi="Times New Roman" w:cs="Times New Roman"/>
          <w:sz w:val="24"/>
          <w:szCs w:val="24"/>
        </w:rPr>
        <w:t xml:space="preserve">, mesleğe göre yüzde </w:t>
      </w:r>
      <w:r w:rsidR="00F45E67">
        <w:rPr>
          <w:rFonts w:ascii="Times New Roman" w:hAnsi="Times New Roman" w:cs="Times New Roman"/>
          <w:sz w:val="24"/>
          <w:szCs w:val="24"/>
        </w:rPr>
        <w:t>9,</w:t>
      </w:r>
      <w:r w:rsidR="007D5D09">
        <w:rPr>
          <w:rFonts w:ascii="Times New Roman" w:hAnsi="Times New Roman" w:cs="Times New Roman"/>
          <w:sz w:val="24"/>
          <w:szCs w:val="24"/>
        </w:rPr>
        <w:t>6</w:t>
      </w:r>
      <w:r w:rsidR="00F06125">
        <w:rPr>
          <w:rFonts w:ascii="Times New Roman" w:hAnsi="Times New Roman" w:cs="Times New Roman"/>
          <w:sz w:val="24"/>
          <w:szCs w:val="24"/>
        </w:rPr>
        <w:t xml:space="preserve"> ile </w:t>
      </w:r>
      <w:r w:rsidR="00AC6659">
        <w:rPr>
          <w:rFonts w:ascii="Times New Roman" w:hAnsi="Times New Roman" w:cs="Times New Roman"/>
          <w:sz w:val="24"/>
          <w:szCs w:val="24"/>
        </w:rPr>
        <w:t>“</w:t>
      </w:r>
      <w:r w:rsidR="0057332F">
        <w:rPr>
          <w:rFonts w:ascii="Times New Roman" w:hAnsi="Times New Roman" w:cs="Times New Roman"/>
          <w:sz w:val="24"/>
          <w:szCs w:val="24"/>
        </w:rPr>
        <w:t>Nitelik gerektirmeyen işlerde çalışanlar</w:t>
      </w:r>
      <w:r w:rsidR="00AC6659">
        <w:rPr>
          <w:rFonts w:ascii="Times New Roman" w:hAnsi="Times New Roman" w:cs="Times New Roman"/>
          <w:sz w:val="24"/>
          <w:szCs w:val="24"/>
        </w:rPr>
        <w:t>”</w:t>
      </w:r>
      <w:r w:rsidR="00F06125">
        <w:rPr>
          <w:rFonts w:ascii="Times New Roman" w:hAnsi="Times New Roman" w:cs="Times New Roman"/>
          <w:sz w:val="24"/>
          <w:szCs w:val="24"/>
        </w:rPr>
        <w:t xml:space="preserve">, </w:t>
      </w:r>
      <w:r w:rsidR="00C33C6F">
        <w:rPr>
          <w:rFonts w:ascii="Times New Roman" w:hAnsi="Times New Roman" w:cs="Times New Roman"/>
          <w:sz w:val="24"/>
          <w:szCs w:val="24"/>
        </w:rPr>
        <w:t>temel gelir</w:t>
      </w:r>
      <w:r w:rsidR="00F06125">
        <w:rPr>
          <w:rFonts w:ascii="Times New Roman" w:hAnsi="Times New Roman" w:cs="Times New Roman"/>
          <w:sz w:val="24"/>
          <w:szCs w:val="24"/>
        </w:rPr>
        <w:t xml:space="preserve"> kaynağına göre yüzde </w:t>
      </w:r>
      <w:r w:rsidR="008E18E7">
        <w:rPr>
          <w:rFonts w:ascii="Times New Roman" w:hAnsi="Times New Roman" w:cs="Times New Roman"/>
          <w:sz w:val="24"/>
          <w:szCs w:val="24"/>
        </w:rPr>
        <w:t>1</w:t>
      </w:r>
      <w:r w:rsidR="00F45E67">
        <w:rPr>
          <w:rFonts w:ascii="Times New Roman" w:hAnsi="Times New Roman" w:cs="Times New Roman"/>
          <w:sz w:val="24"/>
          <w:szCs w:val="24"/>
        </w:rPr>
        <w:t>0,</w:t>
      </w:r>
      <w:r w:rsidR="007D5D09">
        <w:rPr>
          <w:rFonts w:ascii="Times New Roman" w:hAnsi="Times New Roman" w:cs="Times New Roman"/>
          <w:sz w:val="24"/>
          <w:szCs w:val="24"/>
        </w:rPr>
        <w:t>8</w:t>
      </w:r>
      <w:r w:rsidR="00F06125">
        <w:rPr>
          <w:rFonts w:ascii="Times New Roman" w:hAnsi="Times New Roman" w:cs="Times New Roman"/>
          <w:sz w:val="24"/>
          <w:szCs w:val="24"/>
        </w:rPr>
        <w:t xml:space="preserve"> ile </w:t>
      </w:r>
      <w:r w:rsidR="00AC6659">
        <w:rPr>
          <w:rFonts w:ascii="Times New Roman" w:hAnsi="Times New Roman" w:cs="Times New Roman"/>
          <w:sz w:val="24"/>
          <w:szCs w:val="24"/>
        </w:rPr>
        <w:t>“D</w:t>
      </w:r>
      <w:r w:rsidR="00F06125">
        <w:rPr>
          <w:rFonts w:ascii="Times New Roman" w:hAnsi="Times New Roman" w:cs="Times New Roman"/>
          <w:sz w:val="24"/>
          <w:szCs w:val="24"/>
        </w:rPr>
        <w:t xml:space="preserve">iğer </w:t>
      </w:r>
      <w:r w:rsidR="00AC6659">
        <w:rPr>
          <w:rFonts w:ascii="Times New Roman" w:hAnsi="Times New Roman" w:cs="Times New Roman"/>
          <w:sz w:val="24"/>
          <w:szCs w:val="24"/>
        </w:rPr>
        <w:t>T</w:t>
      </w:r>
      <w:r w:rsidR="00F06125">
        <w:rPr>
          <w:rFonts w:ascii="Times New Roman" w:hAnsi="Times New Roman" w:cs="Times New Roman"/>
          <w:sz w:val="24"/>
          <w:szCs w:val="24"/>
        </w:rPr>
        <w:t xml:space="preserve">ransferlerle </w:t>
      </w:r>
      <w:r w:rsidR="00AC6659">
        <w:rPr>
          <w:rFonts w:ascii="Times New Roman" w:hAnsi="Times New Roman" w:cs="Times New Roman"/>
          <w:sz w:val="24"/>
          <w:szCs w:val="24"/>
        </w:rPr>
        <w:t>G</w:t>
      </w:r>
      <w:r w:rsidR="00F06125">
        <w:rPr>
          <w:rFonts w:ascii="Times New Roman" w:hAnsi="Times New Roman" w:cs="Times New Roman"/>
          <w:sz w:val="24"/>
          <w:szCs w:val="24"/>
        </w:rPr>
        <w:t>eçinenler</w:t>
      </w:r>
      <w:r w:rsidR="00AC6659">
        <w:rPr>
          <w:rFonts w:ascii="Times New Roman" w:hAnsi="Times New Roman" w:cs="Times New Roman"/>
          <w:sz w:val="24"/>
          <w:szCs w:val="24"/>
        </w:rPr>
        <w:t>”</w:t>
      </w:r>
      <w:r w:rsidR="00B650D0">
        <w:rPr>
          <w:rFonts w:ascii="Times New Roman" w:hAnsi="Times New Roman" w:cs="Times New Roman"/>
          <w:sz w:val="24"/>
          <w:szCs w:val="24"/>
        </w:rPr>
        <w:t xml:space="preserve"> </w:t>
      </w:r>
      <w:r w:rsidR="003B7209">
        <w:rPr>
          <w:rFonts w:ascii="Times New Roman" w:hAnsi="Times New Roman" w:cs="Times New Roman"/>
          <w:sz w:val="24"/>
          <w:szCs w:val="24"/>
        </w:rPr>
        <w:t>oldu</w:t>
      </w:r>
      <w:r w:rsidR="00F06125">
        <w:rPr>
          <w:rFonts w:ascii="Times New Roman" w:hAnsi="Times New Roman" w:cs="Times New Roman"/>
          <w:sz w:val="24"/>
          <w:szCs w:val="24"/>
        </w:rPr>
        <w:t>.</w:t>
      </w:r>
      <w:r w:rsidR="001E1D83">
        <w:rPr>
          <w:rFonts w:ascii="Times New Roman" w:hAnsi="Times New Roman" w:cs="Times New Roman"/>
          <w:sz w:val="24"/>
          <w:szCs w:val="24"/>
        </w:rPr>
        <w:t xml:space="preserve"> </w:t>
      </w:r>
      <w:r w:rsidR="001733D6">
        <w:rPr>
          <w:rFonts w:ascii="Times New Roman" w:hAnsi="Times New Roman" w:cs="Times New Roman"/>
          <w:sz w:val="24"/>
          <w:szCs w:val="24"/>
        </w:rPr>
        <w:t xml:space="preserve">Enflasyon nedeniyle </w:t>
      </w:r>
      <w:r w:rsidR="00B650D0">
        <w:rPr>
          <w:rFonts w:ascii="Times New Roman" w:hAnsi="Times New Roman" w:cs="Times New Roman"/>
          <w:sz w:val="24"/>
          <w:szCs w:val="24"/>
        </w:rPr>
        <w:t>yaşanan</w:t>
      </w:r>
      <w:r w:rsidR="001733D6">
        <w:rPr>
          <w:rFonts w:ascii="Times New Roman" w:hAnsi="Times New Roman" w:cs="Times New Roman"/>
          <w:sz w:val="24"/>
          <w:szCs w:val="24"/>
        </w:rPr>
        <w:t xml:space="preserve"> gizl</w:t>
      </w:r>
      <w:r w:rsidR="00B650D0">
        <w:rPr>
          <w:rFonts w:ascii="Times New Roman" w:hAnsi="Times New Roman" w:cs="Times New Roman"/>
          <w:sz w:val="24"/>
          <w:szCs w:val="24"/>
        </w:rPr>
        <w:t>i</w:t>
      </w:r>
      <w:r w:rsidR="001733D6">
        <w:rPr>
          <w:rFonts w:ascii="Times New Roman" w:hAnsi="Times New Roman" w:cs="Times New Roman"/>
          <w:sz w:val="24"/>
          <w:szCs w:val="24"/>
        </w:rPr>
        <w:t xml:space="preserve"> yoksullaşma</w:t>
      </w:r>
      <w:r w:rsidR="001E1D83">
        <w:rPr>
          <w:rFonts w:ascii="Times New Roman" w:hAnsi="Times New Roman" w:cs="Times New Roman"/>
          <w:sz w:val="24"/>
          <w:szCs w:val="24"/>
        </w:rPr>
        <w:t>,</w:t>
      </w:r>
      <w:r w:rsidR="001733D6">
        <w:rPr>
          <w:rFonts w:ascii="Times New Roman" w:hAnsi="Times New Roman" w:cs="Times New Roman"/>
          <w:sz w:val="24"/>
          <w:szCs w:val="24"/>
        </w:rPr>
        <w:t xml:space="preserve"> en yoksul </w:t>
      </w:r>
      <w:r w:rsidR="00F45E67">
        <w:rPr>
          <w:rFonts w:ascii="Times New Roman" w:hAnsi="Times New Roman" w:cs="Times New Roman"/>
          <w:sz w:val="24"/>
          <w:szCs w:val="24"/>
        </w:rPr>
        <w:t>yüzde 20 için yüzde 9,</w:t>
      </w:r>
      <w:r w:rsidR="007D5D09">
        <w:rPr>
          <w:rFonts w:ascii="Times New Roman" w:hAnsi="Times New Roman" w:cs="Times New Roman"/>
          <w:sz w:val="24"/>
          <w:szCs w:val="24"/>
        </w:rPr>
        <w:t>6</w:t>
      </w:r>
      <w:r w:rsidR="00B650D0">
        <w:rPr>
          <w:rFonts w:ascii="Times New Roman" w:hAnsi="Times New Roman" w:cs="Times New Roman"/>
          <w:sz w:val="24"/>
          <w:szCs w:val="24"/>
        </w:rPr>
        <w:t xml:space="preserve"> seviyesinde gerçekleşti</w:t>
      </w:r>
      <w:r w:rsidR="001733D6">
        <w:rPr>
          <w:rFonts w:ascii="Times New Roman" w:hAnsi="Times New Roman" w:cs="Times New Roman"/>
          <w:sz w:val="24"/>
          <w:szCs w:val="24"/>
        </w:rPr>
        <w:t>. Buna karşın en zen</w:t>
      </w:r>
      <w:r w:rsidR="00B650D0">
        <w:rPr>
          <w:rFonts w:ascii="Times New Roman" w:hAnsi="Times New Roman" w:cs="Times New Roman"/>
          <w:sz w:val="24"/>
          <w:szCs w:val="24"/>
        </w:rPr>
        <w:t>gin yüzde 20</w:t>
      </w:r>
      <w:r w:rsidR="001733D6">
        <w:rPr>
          <w:rFonts w:ascii="Times New Roman" w:hAnsi="Times New Roman" w:cs="Times New Roman"/>
          <w:sz w:val="24"/>
          <w:szCs w:val="24"/>
        </w:rPr>
        <w:t xml:space="preserve"> için </w:t>
      </w:r>
      <w:r w:rsidR="00B650D0">
        <w:rPr>
          <w:rFonts w:ascii="Times New Roman" w:hAnsi="Times New Roman" w:cs="Times New Roman"/>
          <w:sz w:val="24"/>
          <w:szCs w:val="24"/>
        </w:rPr>
        <w:t xml:space="preserve">gizli </w:t>
      </w:r>
      <w:r w:rsidR="001733D6">
        <w:rPr>
          <w:rFonts w:ascii="Times New Roman" w:hAnsi="Times New Roman" w:cs="Times New Roman"/>
          <w:sz w:val="24"/>
          <w:szCs w:val="24"/>
        </w:rPr>
        <w:t xml:space="preserve">yoksullaşma yüzde </w:t>
      </w:r>
      <w:r w:rsidR="007D5D09">
        <w:rPr>
          <w:rFonts w:ascii="Times New Roman" w:hAnsi="Times New Roman" w:cs="Times New Roman"/>
          <w:sz w:val="24"/>
          <w:szCs w:val="24"/>
        </w:rPr>
        <w:t>5</w:t>
      </w:r>
      <w:r w:rsidR="001733D6">
        <w:rPr>
          <w:rFonts w:ascii="Times New Roman" w:hAnsi="Times New Roman" w:cs="Times New Roman"/>
          <w:sz w:val="24"/>
          <w:szCs w:val="24"/>
        </w:rPr>
        <w:t xml:space="preserve"> oldu. </w:t>
      </w:r>
    </w:p>
    <w:p w14:paraId="5DFADF0D" w14:textId="77777777" w:rsidR="00BD7299" w:rsidRDefault="00B53187" w:rsidP="00046A5F">
      <w:pPr>
        <w:spacing w:after="240" w:line="360" w:lineRule="auto"/>
        <w:ind w:left="0"/>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SONUÇ</w:t>
      </w:r>
    </w:p>
    <w:p w14:paraId="7C4BD614" w14:textId="28414793" w:rsidR="00046A5F" w:rsidRPr="00563A7D" w:rsidRDefault="005B7FF4" w:rsidP="00046A5F">
      <w:pPr>
        <w:spacing w:after="240" w:line="360" w:lineRule="auto"/>
        <w:ind w:left="0"/>
        <w:jc w:val="both"/>
        <w:rPr>
          <w:color w:val="000000"/>
          <w:shd w:val="clear" w:color="auto" w:fill="FFFFFF"/>
        </w:rPr>
      </w:pPr>
      <w:r>
        <w:rPr>
          <w:rStyle w:val="apple-style-span"/>
          <w:rFonts w:ascii="Times New Roman" w:hAnsi="Times New Roman" w:cs="Times New Roman"/>
          <w:color w:val="000000"/>
          <w:sz w:val="24"/>
          <w:szCs w:val="24"/>
          <w:shd w:val="clear" w:color="auto" w:fill="FFFFFF"/>
        </w:rPr>
        <w:t>E</w:t>
      </w:r>
      <w:r w:rsidR="00046A5F" w:rsidRPr="00563A7D">
        <w:rPr>
          <w:rStyle w:val="apple-style-span"/>
          <w:rFonts w:ascii="Times New Roman" w:hAnsi="Times New Roman" w:cs="Times New Roman"/>
          <w:color w:val="000000"/>
          <w:sz w:val="24"/>
          <w:szCs w:val="24"/>
          <w:shd w:val="clear" w:color="auto" w:fill="FFFFFF"/>
        </w:rPr>
        <w:t>nflasyondaki hareketler doğrudan doğruya alım gücüne etki eden bir role sahip</w:t>
      </w:r>
      <w:r>
        <w:rPr>
          <w:rStyle w:val="apple-style-span"/>
          <w:rFonts w:ascii="Times New Roman" w:hAnsi="Times New Roman" w:cs="Times New Roman"/>
          <w:color w:val="000000"/>
          <w:sz w:val="24"/>
          <w:szCs w:val="24"/>
          <w:shd w:val="clear" w:color="auto" w:fill="FFFFFF"/>
        </w:rPr>
        <w:t>.</w:t>
      </w:r>
      <w:r w:rsidR="00046A5F">
        <w:rPr>
          <w:rStyle w:val="apple-style-span"/>
          <w:rFonts w:ascii="Times New Roman" w:hAnsi="Times New Roman" w:cs="Times New Roman"/>
          <w:color w:val="000000"/>
          <w:sz w:val="24"/>
          <w:szCs w:val="24"/>
          <w:shd w:val="clear" w:color="auto" w:fill="FFFFFF"/>
        </w:rPr>
        <w:t xml:space="preserve"> </w:t>
      </w:r>
      <w:r>
        <w:rPr>
          <w:rStyle w:val="apple-style-span"/>
          <w:rFonts w:ascii="Times New Roman" w:hAnsi="Times New Roman" w:cs="Times New Roman"/>
          <w:color w:val="000000"/>
          <w:sz w:val="24"/>
          <w:szCs w:val="24"/>
          <w:shd w:val="clear" w:color="auto" w:fill="FFFFFF"/>
        </w:rPr>
        <w:t>K</w:t>
      </w:r>
      <w:r w:rsidR="00046A5F">
        <w:rPr>
          <w:rFonts w:ascii="Times New Roman" w:hAnsi="Times New Roman" w:cs="Times New Roman"/>
          <w:sz w:val="24"/>
          <w:szCs w:val="24"/>
        </w:rPr>
        <w:t>işinin kendi yaptığı harcama kalemlerindeki fiyat artışları (enflasyonu) ile resmi Tüketici</w:t>
      </w:r>
      <w:r>
        <w:rPr>
          <w:rFonts w:ascii="Times New Roman" w:hAnsi="Times New Roman" w:cs="Times New Roman"/>
          <w:sz w:val="24"/>
          <w:szCs w:val="24"/>
        </w:rPr>
        <w:t xml:space="preserve"> Fiyat Endeksi arasındaki fark</w:t>
      </w:r>
      <w:r w:rsidR="00046A5F">
        <w:rPr>
          <w:rFonts w:ascii="Times New Roman" w:hAnsi="Times New Roman" w:cs="Times New Roman"/>
          <w:sz w:val="24"/>
          <w:szCs w:val="24"/>
        </w:rPr>
        <w:t xml:space="preserve"> istatistiklere yansımayan bir yoksulluğa neden ol</w:t>
      </w:r>
      <w:r w:rsidR="008643B3">
        <w:rPr>
          <w:rFonts w:ascii="Times New Roman" w:hAnsi="Times New Roman" w:cs="Times New Roman"/>
          <w:sz w:val="24"/>
          <w:szCs w:val="24"/>
        </w:rPr>
        <w:t>maktadır</w:t>
      </w:r>
      <w:r w:rsidR="00046A5F">
        <w:rPr>
          <w:rFonts w:ascii="Times New Roman" w:hAnsi="Times New Roman" w:cs="Times New Roman"/>
          <w:sz w:val="24"/>
          <w:szCs w:val="24"/>
        </w:rPr>
        <w:t>.</w:t>
      </w:r>
      <w:r w:rsidR="008643B3">
        <w:rPr>
          <w:rFonts w:ascii="Times New Roman" w:hAnsi="Times New Roman" w:cs="Times New Roman"/>
          <w:sz w:val="24"/>
          <w:szCs w:val="24"/>
        </w:rPr>
        <w:t xml:space="preserve"> Aynı zamanda sepete her yıl müdahaleye olanak tanıyan yöntem</w:t>
      </w:r>
      <w:r w:rsidR="00B650D0">
        <w:rPr>
          <w:rFonts w:ascii="Times New Roman" w:hAnsi="Times New Roman" w:cs="Times New Roman"/>
          <w:sz w:val="24"/>
          <w:szCs w:val="24"/>
        </w:rPr>
        <w:t>,</w:t>
      </w:r>
      <w:r w:rsidR="008643B3">
        <w:rPr>
          <w:rFonts w:ascii="Times New Roman" w:hAnsi="Times New Roman" w:cs="Times New Roman"/>
          <w:sz w:val="24"/>
          <w:szCs w:val="24"/>
        </w:rPr>
        <w:t xml:space="preserve"> sonuçların güvenilirliği açısından soru işaretlerine neden </w:t>
      </w:r>
      <w:r w:rsidR="00B650D0">
        <w:rPr>
          <w:rFonts w:ascii="Times New Roman" w:hAnsi="Times New Roman" w:cs="Times New Roman"/>
          <w:sz w:val="24"/>
          <w:szCs w:val="24"/>
        </w:rPr>
        <w:t>olmaktadır</w:t>
      </w:r>
      <w:r w:rsidR="008643B3">
        <w:rPr>
          <w:rFonts w:ascii="Times New Roman" w:hAnsi="Times New Roman" w:cs="Times New Roman"/>
          <w:sz w:val="24"/>
          <w:szCs w:val="24"/>
        </w:rPr>
        <w:t>. Dar gelirli için ağırlığı son derece önemli olan kira ve gıdanın, sepetteki ağırlığ</w:t>
      </w:r>
      <w:r w:rsidR="00B650D0">
        <w:rPr>
          <w:rFonts w:ascii="Times New Roman" w:hAnsi="Times New Roman" w:cs="Times New Roman"/>
          <w:sz w:val="24"/>
          <w:szCs w:val="24"/>
        </w:rPr>
        <w:t xml:space="preserve">ının sistematik olarak azalması enflasyon </w:t>
      </w:r>
      <w:r w:rsidR="00931994">
        <w:rPr>
          <w:rFonts w:ascii="Times New Roman" w:hAnsi="Times New Roman" w:cs="Times New Roman"/>
          <w:sz w:val="24"/>
          <w:szCs w:val="24"/>
        </w:rPr>
        <w:t xml:space="preserve">verileri </w:t>
      </w:r>
      <w:r w:rsidR="00B650D0">
        <w:rPr>
          <w:rFonts w:ascii="Times New Roman" w:hAnsi="Times New Roman" w:cs="Times New Roman"/>
          <w:sz w:val="24"/>
          <w:szCs w:val="24"/>
        </w:rPr>
        <w:t>üzerinden yaşanan tartışmaları artırmaktadır</w:t>
      </w:r>
      <w:r w:rsidR="008643B3">
        <w:rPr>
          <w:rFonts w:ascii="Times New Roman" w:hAnsi="Times New Roman" w:cs="Times New Roman"/>
          <w:sz w:val="24"/>
          <w:szCs w:val="24"/>
        </w:rPr>
        <w:t>.</w:t>
      </w:r>
      <w:r w:rsidR="00046A5F">
        <w:rPr>
          <w:rFonts w:ascii="Times New Roman" w:hAnsi="Times New Roman" w:cs="Times New Roman"/>
          <w:sz w:val="24"/>
          <w:szCs w:val="24"/>
        </w:rPr>
        <w:t xml:space="preserve"> </w:t>
      </w:r>
      <w:r w:rsidR="00B8321C">
        <w:rPr>
          <w:rFonts w:ascii="Times New Roman" w:hAnsi="Times New Roman" w:cs="Times New Roman"/>
          <w:sz w:val="24"/>
          <w:szCs w:val="24"/>
        </w:rPr>
        <w:t xml:space="preserve">Ayrıca yüksek enflasyonlu günlere geri dönüş yaşandığı bu dönemde ücret kayıpları derhal giderilmelidir. </w:t>
      </w:r>
      <w:r>
        <w:rPr>
          <w:rFonts w:ascii="Times New Roman" w:hAnsi="Times New Roman" w:cs="Times New Roman"/>
          <w:sz w:val="24"/>
          <w:szCs w:val="24"/>
        </w:rPr>
        <w:t>Bu nedenle;</w:t>
      </w:r>
    </w:p>
    <w:p w14:paraId="0460ADBD" w14:textId="72505908" w:rsidR="00046A5F" w:rsidRPr="00F76299" w:rsidRDefault="00046A5F" w:rsidP="00046A5F">
      <w:pPr>
        <w:pStyle w:val="NormalWeb"/>
        <w:numPr>
          <w:ilvl w:val="0"/>
          <w:numId w:val="2"/>
        </w:numPr>
        <w:spacing w:line="336" w:lineRule="auto"/>
        <w:jc w:val="both"/>
        <w:rPr>
          <w:color w:val="000000"/>
          <w:shd w:val="clear" w:color="auto" w:fill="FFFFFF"/>
        </w:rPr>
      </w:pPr>
      <w:r>
        <w:rPr>
          <w:color w:val="000000"/>
          <w:shd w:val="clear" w:color="auto" w:fill="FFFFFF"/>
        </w:rPr>
        <w:t>Ücret artışlarında</w:t>
      </w:r>
      <w:r w:rsidR="008643B3">
        <w:rPr>
          <w:color w:val="000000"/>
          <w:shd w:val="clear" w:color="auto" w:fill="FFFFFF"/>
        </w:rPr>
        <w:t xml:space="preserve"> dar gelirlileri</w:t>
      </w:r>
      <w:r>
        <w:rPr>
          <w:color w:val="000000"/>
          <w:shd w:val="clear" w:color="auto" w:fill="FFFFFF"/>
        </w:rPr>
        <w:t xml:space="preserve"> dikkate alınacak ayrı bir endeks oluşturulmalıdır</w:t>
      </w:r>
      <w:r w:rsidR="00B8321C">
        <w:rPr>
          <w:color w:val="000000"/>
          <w:shd w:val="clear" w:color="auto" w:fill="FFFFFF"/>
        </w:rPr>
        <w:t>.</w:t>
      </w:r>
    </w:p>
    <w:p w14:paraId="0BF5D181" w14:textId="6C964E09" w:rsidR="00046A5F" w:rsidRPr="00563A7D" w:rsidRDefault="00046A5F" w:rsidP="00046A5F">
      <w:pPr>
        <w:pStyle w:val="NormalWeb"/>
        <w:numPr>
          <w:ilvl w:val="0"/>
          <w:numId w:val="2"/>
        </w:numPr>
        <w:spacing w:line="336" w:lineRule="auto"/>
        <w:jc w:val="both"/>
        <w:rPr>
          <w:color w:val="000000"/>
          <w:shd w:val="clear" w:color="auto" w:fill="FFFFFF"/>
        </w:rPr>
      </w:pPr>
      <w:r w:rsidRPr="00563A7D">
        <w:rPr>
          <w:color w:val="000000"/>
          <w:shd w:val="clear" w:color="auto" w:fill="FFFFFF"/>
        </w:rPr>
        <w:t>Toplum tarafından yaygın olarak kullanılmadığı ha</w:t>
      </w:r>
      <w:r w:rsidR="00B650D0">
        <w:rPr>
          <w:color w:val="000000"/>
          <w:shd w:val="clear" w:color="auto" w:fill="FFFFFF"/>
        </w:rPr>
        <w:t>lde, yüksek değer taşıdığı için</w:t>
      </w:r>
      <w:r w:rsidRPr="00563A7D">
        <w:rPr>
          <w:color w:val="000000"/>
          <w:shd w:val="clear" w:color="auto" w:fill="FFFFFF"/>
        </w:rPr>
        <w:t xml:space="preserve"> enflasyonu </w:t>
      </w:r>
      <w:r w:rsidR="00B650D0">
        <w:rPr>
          <w:color w:val="000000"/>
          <w:shd w:val="clear" w:color="auto" w:fill="FFFFFF"/>
        </w:rPr>
        <w:t xml:space="preserve">önemi oranda </w:t>
      </w:r>
      <w:r w:rsidRPr="00563A7D">
        <w:rPr>
          <w:color w:val="000000"/>
          <w:shd w:val="clear" w:color="auto" w:fill="FFFFFF"/>
        </w:rPr>
        <w:t>etkileyen ürünler</w:t>
      </w:r>
      <w:r w:rsidR="008643B3">
        <w:rPr>
          <w:color w:val="000000"/>
          <w:shd w:val="clear" w:color="auto" w:fill="FFFFFF"/>
        </w:rPr>
        <w:t>in</w:t>
      </w:r>
      <w:r w:rsidRPr="00563A7D">
        <w:rPr>
          <w:color w:val="000000"/>
          <w:shd w:val="clear" w:color="auto" w:fill="FFFFFF"/>
        </w:rPr>
        <w:t xml:space="preserve"> mal sepetinde</w:t>
      </w:r>
      <w:r w:rsidR="008643B3">
        <w:rPr>
          <w:color w:val="000000"/>
          <w:shd w:val="clear" w:color="auto" w:fill="FFFFFF"/>
        </w:rPr>
        <w:t>ki</w:t>
      </w:r>
      <w:r w:rsidRPr="00563A7D">
        <w:rPr>
          <w:color w:val="000000"/>
          <w:shd w:val="clear" w:color="auto" w:fill="FFFFFF"/>
        </w:rPr>
        <w:t xml:space="preserve"> </w:t>
      </w:r>
      <w:r w:rsidR="008643B3">
        <w:rPr>
          <w:color w:val="000000"/>
          <w:shd w:val="clear" w:color="auto" w:fill="FFFFFF"/>
        </w:rPr>
        <w:t xml:space="preserve">ağırlığı gözden geçirilmeli, teknolojik gelişmeye koşut olarak fiyatları sürekli olarak gerileyen ürünler, sepetten çıkartılmalıdır. </w:t>
      </w:r>
    </w:p>
    <w:p w14:paraId="7072EAEC" w14:textId="7057FC19" w:rsidR="00046A5F" w:rsidRPr="00563A7D" w:rsidRDefault="00046A5F" w:rsidP="00046A5F">
      <w:pPr>
        <w:pStyle w:val="NormalWeb"/>
        <w:numPr>
          <w:ilvl w:val="0"/>
          <w:numId w:val="2"/>
        </w:numPr>
        <w:spacing w:line="336" w:lineRule="auto"/>
        <w:jc w:val="both"/>
        <w:rPr>
          <w:color w:val="000000"/>
          <w:shd w:val="clear" w:color="auto" w:fill="FFFFFF"/>
        </w:rPr>
      </w:pPr>
      <w:r w:rsidRPr="00563A7D">
        <w:rPr>
          <w:color w:val="000000"/>
          <w:shd w:val="clear" w:color="auto" w:fill="FFFFFF"/>
        </w:rPr>
        <w:t xml:space="preserve">Her türlü </w:t>
      </w:r>
      <w:r w:rsidR="004D748D" w:rsidRPr="00563A7D">
        <w:rPr>
          <w:color w:val="000000"/>
          <w:shd w:val="clear" w:color="auto" w:fill="FFFFFF"/>
        </w:rPr>
        <w:t>sübjektif</w:t>
      </w:r>
      <w:r w:rsidRPr="00563A7D">
        <w:rPr>
          <w:color w:val="000000"/>
          <w:shd w:val="clear" w:color="auto" w:fill="FFFFFF"/>
        </w:rPr>
        <w:t xml:space="preserve"> müdahaleye açık olan yıllık sepet </w:t>
      </w:r>
      <w:r w:rsidR="008643B3">
        <w:rPr>
          <w:color w:val="000000"/>
          <w:shd w:val="clear" w:color="auto" w:fill="FFFFFF"/>
        </w:rPr>
        <w:t xml:space="preserve">değişiminden vaz geçilmeli. </w:t>
      </w:r>
      <w:r w:rsidR="00B650D0">
        <w:rPr>
          <w:color w:val="000000"/>
          <w:shd w:val="clear" w:color="auto" w:fill="FFFFFF"/>
        </w:rPr>
        <w:t>Sepetteki</w:t>
      </w:r>
      <w:r w:rsidR="00917A86">
        <w:rPr>
          <w:color w:val="000000"/>
          <w:shd w:val="clear" w:color="auto" w:fill="FFFFFF"/>
        </w:rPr>
        <w:t xml:space="preserve"> değişiklikler 3</w:t>
      </w:r>
      <w:r w:rsidR="008643B3">
        <w:rPr>
          <w:color w:val="000000"/>
          <w:shd w:val="clear" w:color="auto" w:fill="FFFFFF"/>
        </w:rPr>
        <w:t xml:space="preserve">’er yıllık dönemler halinde gerçekleştirilmelidir. </w:t>
      </w:r>
    </w:p>
    <w:p w14:paraId="03AB4E42" w14:textId="77777777" w:rsidR="00046A5F" w:rsidRPr="00563A7D" w:rsidRDefault="00046A5F" w:rsidP="00046A5F">
      <w:pPr>
        <w:pStyle w:val="NormalWeb"/>
        <w:numPr>
          <w:ilvl w:val="0"/>
          <w:numId w:val="2"/>
        </w:numPr>
        <w:spacing w:line="336" w:lineRule="auto"/>
        <w:jc w:val="both"/>
        <w:rPr>
          <w:color w:val="000000"/>
          <w:shd w:val="clear" w:color="auto" w:fill="FFFFFF"/>
        </w:rPr>
      </w:pPr>
      <w:r w:rsidRPr="00563A7D">
        <w:rPr>
          <w:color w:val="000000"/>
          <w:shd w:val="clear" w:color="auto" w:fill="FFFFFF"/>
        </w:rPr>
        <w:lastRenderedPageBreak/>
        <w:t>İstatistik konseyinin kapsamı genişletilerek emek örgütlerinin katılımı ve denetimi sağlanmalıdır.</w:t>
      </w:r>
    </w:p>
    <w:p w14:paraId="5DE5EA74" w14:textId="0F055D1F" w:rsidR="00046A5F" w:rsidRDefault="00046A5F" w:rsidP="00046A5F">
      <w:pPr>
        <w:pStyle w:val="NormalWeb"/>
        <w:numPr>
          <w:ilvl w:val="0"/>
          <w:numId w:val="2"/>
        </w:numPr>
        <w:spacing w:line="336" w:lineRule="auto"/>
        <w:jc w:val="both"/>
        <w:rPr>
          <w:color w:val="000000"/>
          <w:shd w:val="clear" w:color="auto" w:fill="FFFFFF"/>
        </w:rPr>
      </w:pPr>
      <w:r w:rsidRPr="00563A7D">
        <w:rPr>
          <w:color w:val="000000"/>
          <w:shd w:val="clear" w:color="auto" w:fill="FFFFFF"/>
        </w:rPr>
        <w:t>Hükümet</w:t>
      </w:r>
      <w:r w:rsidR="003E3122">
        <w:rPr>
          <w:color w:val="000000"/>
          <w:shd w:val="clear" w:color="auto" w:fill="FFFFFF"/>
        </w:rPr>
        <w:t>in</w:t>
      </w:r>
      <w:r w:rsidRPr="00563A7D">
        <w:rPr>
          <w:color w:val="000000"/>
          <w:shd w:val="clear" w:color="auto" w:fill="FFFFFF"/>
        </w:rPr>
        <w:t xml:space="preserve"> </w:t>
      </w:r>
      <w:proofErr w:type="spellStart"/>
      <w:r w:rsidRPr="00563A7D">
        <w:rPr>
          <w:color w:val="000000"/>
          <w:shd w:val="clear" w:color="auto" w:fill="FFFFFF"/>
        </w:rPr>
        <w:t>TÜİK’e</w:t>
      </w:r>
      <w:proofErr w:type="spellEnd"/>
      <w:r w:rsidRPr="00563A7D">
        <w:rPr>
          <w:color w:val="000000"/>
          <w:shd w:val="clear" w:color="auto" w:fill="FFFFFF"/>
        </w:rPr>
        <w:t xml:space="preserve"> müdahalesi anlamına gelecek yaklaşımlardan</w:t>
      </w:r>
      <w:r w:rsidR="008643B3">
        <w:rPr>
          <w:color w:val="000000"/>
          <w:shd w:val="clear" w:color="auto" w:fill="FFFFFF"/>
        </w:rPr>
        <w:t xml:space="preserve"> ve söylemlerden</w:t>
      </w:r>
      <w:r w:rsidRPr="00563A7D">
        <w:rPr>
          <w:color w:val="000000"/>
          <w:shd w:val="clear" w:color="auto" w:fill="FFFFFF"/>
        </w:rPr>
        <w:t xml:space="preserve"> uzak </w:t>
      </w:r>
      <w:r w:rsidR="003E3122">
        <w:rPr>
          <w:color w:val="000000"/>
          <w:shd w:val="clear" w:color="auto" w:fill="FFFFFF"/>
        </w:rPr>
        <w:t>durulmalıdır</w:t>
      </w:r>
      <w:r w:rsidRPr="00563A7D">
        <w:rPr>
          <w:color w:val="000000"/>
          <w:shd w:val="clear" w:color="auto" w:fill="FFFFFF"/>
        </w:rPr>
        <w:t>.</w:t>
      </w:r>
    </w:p>
    <w:p w14:paraId="586051FC" w14:textId="00972279" w:rsidR="00993302" w:rsidRDefault="00046A5F" w:rsidP="00993302">
      <w:pPr>
        <w:pStyle w:val="NormalWeb"/>
        <w:numPr>
          <w:ilvl w:val="0"/>
          <w:numId w:val="2"/>
        </w:numPr>
        <w:spacing w:line="336" w:lineRule="auto"/>
        <w:jc w:val="both"/>
        <w:rPr>
          <w:color w:val="000000"/>
          <w:shd w:val="clear" w:color="auto" w:fill="FFFFFF"/>
        </w:rPr>
      </w:pPr>
      <w:r w:rsidRPr="00F76299">
        <w:rPr>
          <w:color w:val="000000"/>
          <w:shd w:val="clear" w:color="auto" w:fill="FFFFFF"/>
        </w:rPr>
        <w:t xml:space="preserve">Enflasyon hesaplamasında </w:t>
      </w:r>
      <w:r w:rsidR="00B650D0">
        <w:rPr>
          <w:color w:val="000000"/>
          <w:shd w:val="clear" w:color="auto" w:fill="FFFFFF"/>
        </w:rPr>
        <w:t>araştırma kapsamında</w:t>
      </w:r>
      <w:r w:rsidRPr="00F76299">
        <w:rPr>
          <w:color w:val="000000"/>
          <w:shd w:val="clear" w:color="auto" w:fill="FFFFFF"/>
        </w:rPr>
        <w:t xml:space="preserve"> belirtilen unsurlardan kaynaklı </w:t>
      </w:r>
      <w:r w:rsidR="00B650D0">
        <w:rPr>
          <w:color w:val="000000"/>
          <w:shd w:val="clear" w:color="auto" w:fill="FFFFFF"/>
        </w:rPr>
        <w:t xml:space="preserve">olarak </w:t>
      </w:r>
      <w:r w:rsidRPr="00F76299">
        <w:rPr>
          <w:color w:val="000000"/>
          <w:shd w:val="clear" w:color="auto" w:fill="FFFFFF"/>
        </w:rPr>
        <w:t xml:space="preserve">yaşanan </w:t>
      </w:r>
      <w:r w:rsidR="005B7FF4">
        <w:rPr>
          <w:color w:val="000000"/>
          <w:shd w:val="clear" w:color="auto" w:fill="FFFFFF"/>
        </w:rPr>
        <w:t>gelir kayıpları giderilmelidir.</w:t>
      </w:r>
    </w:p>
    <w:p w14:paraId="7CD97985" w14:textId="48B0906A" w:rsidR="002B37B8" w:rsidRPr="000D49ED" w:rsidRDefault="00B8321C" w:rsidP="000D49ED">
      <w:pPr>
        <w:pStyle w:val="NormalWeb"/>
        <w:numPr>
          <w:ilvl w:val="0"/>
          <w:numId w:val="2"/>
        </w:numPr>
        <w:spacing w:line="336" w:lineRule="auto"/>
        <w:jc w:val="both"/>
        <w:rPr>
          <w:rStyle w:val="apple-style-span"/>
          <w:color w:val="000000"/>
          <w:shd w:val="clear" w:color="auto" w:fill="FFFFFF"/>
        </w:rPr>
      </w:pPr>
      <w:r>
        <w:rPr>
          <w:color w:val="000000"/>
          <w:shd w:val="clear" w:color="auto" w:fill="FFFFFF"/>
        </w:rPr>
        <w:t xml:space="preserve">Asgari ücrete yapılan artışın enflasyon verilerinin gerisinde </w:t>
      </w:r>
      <w:r w:rsidR="00917A86">
        <w:rPr>
          <w:color w:val="000000"/>
          <w:shd w:val="clear" w:color="auto" w:fill="FFFFFF"/>
        </w:rPr>
        <w:t>kaldığı görülmektedir. Yıl sonu tahminleri de bu durumun süreceğini göstermektedir. Bu nedenle</w:t>
      </w:r>
      <w:r>
        <w:rPr>
          <w:color w:val="000000"/>
          <w:shd w:val="clear" w:color="auto" w:fill="FFFFFF"/>
        </w:rPr>
        <w:t xml:space="preserve"> yaşanan kayıplar derhal giderilmelidir. </w:t>
      </w:r>
    </w:p>
    <w:p w14:paraId="4605138C" w14:textId="39EAC389" w:rsidR="00E03F17" w:rsidRDefault="00B8321C" w:rsidP="00336F76">
      <w:pPr>
        <w:spacing w:after="240" w:line="360" w:lineRule="auto"/>
        <w:ind w:left="0"/>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ARAŞTIRMANIN YÖNTEMİ</w:t>
      </w:r>
    </w:p>
    <w:p w14:paraId="4FF43964" w14:textId="3BACF999" w:rsidR="00B2388B" w:rsidRDefault="00B8321C" w:rsidP="00B8321C">
      <w:pPr>
        <w:spacing w:after="240" w:line="360" w:lineRule="auto"/>
        <w:ind w:left="0"/>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 xml:space="preserve">TÜİK Tüketim Harcamaları İstatistikleri ve TÜİK Tüketici Fiyat Endeksi Harcama Gruplarına Göre Endeks Sonuçları üzerinden, farklı harcama gruplarının tüketim kalıpları dikkate alınarak, enflasyon kalıpları oluşturulmakta, bu kalıp üzerinden farklı gruplara göre enflasyon verileri hesaplanmaktadır. Gizli yoksullaşma oranı resmi TÜFE verileri ile farklı gruplar için hesaplanmış enflasyon oranlarındaki fark dikkate alınarak tespit edilmektedir.  </w:t>
      </w:r>
    </w:p>
    <w:p w14:paraId="3A44FBD9"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037E8129"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272DC6C1"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222EB12F"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74500E18"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3E39AD7F"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45C1C7DD"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361D4440"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1BD0125C"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185D155D"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46093E44"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6BA69A5B"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717C8539"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510FD8C3"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67FB90D2"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38EFBC47" w14:textId="77777777"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p>
    <w:p w14:paraId="75F03CB8" w14:textId="6855AFC5" w:rsidR="00B2388B" w:rsidRDefault="00B2388B" w:rsidP="00B2388B">
      <w:pPr>
        <w:spacing w:after="240"/>
        <w:ind w:left="0"/>
        <w:jc w:val="both"/>
        <w:rPr>
          <w:rStyle w:val="apple-style-span"/>
          <w:rFonts w:ascii="Times New Roman" w:hAnsi="Times New Roman" w:cs="Times New Roman"/>
          <w:color w:val="000000"/>
          <w:sz w:val="24"/>
          <w:szCs w:val="24"/>
          <w:shd w:val="clear" w:color="auto" w:fill="FFFFFF"/>
        </w:rPr>
      </w:pPr>
      <w:r>
        <w:rPr>
          <w:rStyle w:val="apple-style-span"/>
          <w:rFonts w:ascii="Times New Roman" w:hAnsi="Times New Roman" w:cs="Times New Roman"/>
          <w:color w:val="000000"/>
          <w:sz w:val="24"/>
          <w:szCs w:val="24"/>
          <w:shd w:val="clear" w:color="auto" w:fill="FFFFFF"/>
        </w:rPr>
        <w:t xml:space="preserve">Ek- Gelir ve statüye göre enflasyon oranları </w:t>
      </w:r>
    </w:p>
    <w:tbl>
      <w:tblPr>
        <w:tblpPr w:leftFromText="141" w:rightFromText="141" w:vertAnchor="text" w:horzAnchor="page" w:tblpXSpec="center" w:tblpY="740"/>
        <w:tblW w:w="8505" w:type="dxa"/>
        <w:jc w:val="center"/>
        <w:tblCellMar>
          <w:left w:w="70" w:type="dxa"/>
          <w:right w:w="70" w:type="dxa"/>
        </w:tblCellMar>
        <w:tblLook w:val="04A0" w:firstRow="1" w:lastRow="0" w:firstColumn="1" w:lastColumn="0" w:noHBand="0" w:noVBand="1"/>
      </w:tblPr>
      <w:tblGrid>
        <w:gridCol w:w="5056"/>
        <w:gridCol w:w="1235"/>
        <w:gridCol w:w="1118"/>
        <w:gridCol w:w="850"/>
        <w:gridCol w:w="803"/>
      </w:tblGrid>
      <w:tr w:rsidR="00B2388B" w:rsidRPr="00B2388B" w14:paraId="2231DEAB" w14:textId="77777777" w:rsidTr="00B2388B">
        <w:trPr>
          <w:trHeight w:val="306"/>
          <w:jc w:val="center"/>
        </w:trPr>
        <w:tc>
          <w:tcPr>
            <w:tcW w:w="6513"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14:paraId="4C1C3D5E" w14:textId="77777777" w:rsidR="00B2388B" w:rsidRPr="00B2388B" w:rsidRDefault="00B2388B" w:rsidP="00B2388B">
            <w:pPr>
              <w:adjustRightInd w:val="0"/>
              <w:ind w:left="0"/>
              <w:rPr>
                <w:rFonts w:ascii="Arial" w:eastAsia="Times New Roman" w:hAnsi="Arial" w:cs="Arial"/>
                <w:b/>
                <w:bCs/>
                <w:color w:val="FFFFFF"/>
                <w:sz w:val="20"/>
                <w:szCs w:val="20"/>
                <w:lang w:eastAsia="tr-TR"/>
              </w:rPr>
            </w:pPr>
            <w:r w:rsidRPr="00B2388B">
              <w:rPr>
                <w:rFonts w:ascii="Arial" w:eastAsia="Times New Roman" w:hAnsi="Arial" w:cs="Arial"/>
                <w:b/>
                <w:bCs/>
                <w:color w:val="FFFFFF"/>
                <w:sz w:val="20"/>
                <w:szCs w:val="20"/>
                <w:lang w:eastAsia="tr-TR"/>
              </w:rPr>
              <w:t>GELİR GRUPLARI</w:t>
            </w:r>
          </w:p>
        </w:tc>
        <w:tc>
          <w:tcPr>
            <w:tcW w:w="1559"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14:paraId="726B26B2" w14:textId="77777777" w:rsidR="00B2388B" w:rsidRPr="00B2388B" w:rsidRDefault="00B2388B" w:rsidP="00B2388B">
            <w:pPr>
              <w:adjustRightInd w:val="0"/>
              <w:ind w:left="0"/>
              <w:rPr>
                <w:rFonts w:ascii="Arial" w:eastAsia="Times New Roman" w:hAnsi="Arial" w:cs="Arial"/>
                <w:b/>
                <w:bCs/>
                <w:color w:val="FFFFFF"/>
                <w:sz w:val="20"/>
                <w:szCs w:val="20"/>
                <w:lang w:eastAsia="tr-TR"/>
              </w:rPr>
            </w:pPr>
            <w:r w:rsidRPr="00B2388B">
              <w:rPr>
                <w:rFonts w:ascii="Arial" w:eastAsia="Times New Roman" w:hAnsi="Arial" w:cs="Arial"/>
                <w:b/>
                <w:bCs/>
                <w:color w:val="FFFFFF"/>
                <w:sz w:val="20"/>
                <w:szCs w:val="20"/>
                <w:lang w:eastAsia="tr-TR"/>
              </w:rPr>
              <w:t>13 YIL</w:t>
            </w:r>
          </w:p>
        </w:tc>
        <w:tc>
          <w:tcPr>
            <w:tcW w:w="1408"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14:paraId="13B87BEB" w14:textId="77777777" w:rsidR="00B2388B" w:rsidRPr="00B2388B" w:rsidRDefault="00B2388B" w:rsidP="00B2388B">
            <w:pPr>
              <w:adjustRightInd w:val="0"/>
              <w:ind w:left="0"/>
              <w:rPr>
                <w:rFonts w:ascii="Arial" w:eastAsia="Times New Roman" w:hAnsi="Arial" w:cs="Arial"/>
                <w:b/>
                <w:bCs/>
                <w:color w:val="FFFFFF"/>
                <w:sz w:val="20"/>
                <w:szCs w:val="20"/>
                <w:lang w:eastAsia="tr-TR"/>
              </w:rPr>
            </w:pPr>
            <w:r w:rsidRPr="00B2388B">
              <w:rPr>
                <w:rFonts w:ascii="Arial" w:eastAsia="Times New Roman" w:hAnsi="Arial" w:cs="Arial"/>
                <w:b/>
                <w:bCs/>
                <w:color w:val="FFFFFF"/>
                <w:sz w:val="20"/>
                <w:szCs w:val="20"/>
                <w:lang w:eastAsia="tr-TR"/>
              </w:rPr>
              <w:t>1 YIL</w:t>
            </w:r>
          </w:p>
        </w:tc>
        <w:tc>
          <w:tcPr>
            <w:tcW w:w="10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14:paraId="2776A696" w14:textId="77777777" w:rsidR="00B2388B" w:rsidRPr="00B2388B" w:rsidRDefault="00B2388B" w:rsidP="00B2388B">
            <w:pPr>
              <w:adjustRightInd w:val="0"/>
              <w:ind w:left="0"/>
              <w:rPr>
                <w:rFonts w:ascii="Arial" w:eastAsia="Times New Roman" w:hAnsi="Arial" w:cs="Arial"/>
                <w:b/>
                <w:bCs/>
                <w:color w:val="FFFFFF"/>
                <w:sz w:val="20"/>
                <w:szCs w:val="20"/>
                <w:lang w:eastAsia="tr-TR"/>
              </w:rPr>
            </w:pPr>
            <w:r w:rsidRPr="00B2388B">
              <w:rPr>
                <w:rFonts w:ascii="Arial" w:eastAsia="Times New Roman" w:hAnsi="Arial" w:cs="Arial"/>
                <w:b/>
                <w:bCs/>
                <w:color w:val="FFFFFF"/>
                <w:sz w:val="20"/>
                <w:szCs w:val="20"/>
                <w:lang w:eastAsia="tr-TR"/>
              </w:rPr>
              <w:t>YIL BAŞI</w:t>
            </w:r>
          </w:p>
        </w:tc>
        <w:tc>
          <w:tcPr>
            <w:tcW w:w="100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14:paraId="0DE19586" w14:textId="77777777" w:rsidR="00B2388B" w:rsidRPr="00B2388B" w:rsidRDefault="00B2388B" w:rsidP="00B2388B">
            <w:pPr>
              <w:adjustRightInd w:val="0"/>
              <w:ind w:left="0"/>
              <w:rPr>
                <w:rFonts w:ascii="Arial" w:eastAsia="Times New Roman" w:hAnsi="Arial" w:cs="Arial"/>
                <w:b/>
                <w:bCs/>
                <w:color w:val="FFFFFF"/>
                <w:sz w:val="20"/>
                <w:szCs w:val="20"/>
                <w:lang w:eastAsia="tr-TR"/>
              </w:rPr>
            </w:pPr>
            <w:r w:rsidRPr="00B2388B">
              <w:rPr>
                <w:rFonts w:ascii="Arial" w:eastAsia="Times New Roman" w:hAnsi="Arial" w:cs="Arial"/>
                <w:b/>
                <w:bCs/>
                <w:color w:val="FFFFFF"/>
                <w:sz w:val="20"/>
                <w:szCs w:val="20"/>
                <w:lang w:eastAsia="tr-TR"/>
              </w:rPr>
              <w:t>1 AY</w:t>
            </w:r>
          </w:p>
        </w:tc>
      </w:tr>
      <w:tr w:rsidR="00B2388B" w:rsidRPr="00B2388B" w14:paraId="3424F19F"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E38074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GENEL ENFLASYON</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67D3C96"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211,6%</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D8A2D12"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10,68%</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8EFD8A3"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6,60%</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456E1E6"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0,52%</w:t>
            </w:r>
          </w:p>
        </w:tc>
      </w:tr>
      <w:tr w:rsidR="00B2388B" w:rsidRPr="00B2388B" w14:paraId="367F24AB"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63C07"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İŞTEKİ DURUMA GÖRE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99528"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C1DB5"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CA476"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E1883"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r>
      <w:tr w:rsidR="00B2388B" w:rsidRPr="00B2388B" w14:paraId="01368F90"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6AE8E1C"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Düzenli Ücretli Çalışanlar</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18EA7C8"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231,6%</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C774C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10,92%</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6D8D1D0"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6,87%</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6F5DD45"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0,65%</w:t>
            </w:r>
          </w:p>
        </w:tc>
      </w:tr>
      <w:tr w:rsidR="00B2388B" w:rsidRPr="00B2388B" w14:paraId="14D4F273"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E4594"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İşverenler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0166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226,4%</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9733B"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11,17%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68B00"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7,11%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F86D9"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0,81%</w:t>
            </w:r>
          </w:p>
        </w:tc>
      </w:tr>
      <w:tr w:rsidR="00B2388B" w:rsidRPr="00B2388B" w14:paraId="2DEA4EFC"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65E16C"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Kendi Hesabına Çalışanlar</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785B631"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230,9%</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FAB33F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11,20%</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F667F8"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6,92%</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8FF86FC"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0,61%</w:t>
            </w:r>
          </w:p>
        </w:tc>
      </w:tr>
      <w:tr w:rsidR="00B2388B" w:rsidRPr="00B2388B" w14:paraId="2747DC54"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4E06F"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Ücretsiz Aile Çalışanları</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2AF5B"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226,7%</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E1645"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11,33%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9113D"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6,90%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6FF2A"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0,58%</w:t>
            </w:r>
          </w:p>
        </w:tc>
      </w:tr>
      <w:tr w:rsidR="00B2388B" w:rsidRPr="00B2388B" w14:paraId="05498C65"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ADC55D7" w14:textId="77777777" w:rsidR="00B2388B" w:rsidRPr="00B2388B" w:rsidRDefault="00B2388B" w:rsidP="00B2388B">
            <w:pPr>
              <w:adjustRightInd w:val="0"/>
              <w:ind w:left="0"/>
              <w:rPr>
                <w:rFonts w:ascii="Arial" w:eastAsia="Times New Roman" w:hAnsi="Arial" w:cs="Arial"/>
                <w:color w:val="000000"/>
                <w:sz w:val="20"/>
                <w:szCs w:val="20"/>
                <w:lang w:eastAsia="tr-TR"/>
              </w:rPr>
            </w:pPr>
            <w:proofErr w:type="spellStart"/>
            <w:r w:rsidRPr="00B2388B">
              <w:rPr>
                <w:rFonts w:ascii="Arial" w:eastAsia="Times New Roman" w:hAnsi="Arial" w:cs="Arial"/>
                <w:color w:val="000000"/>
                <w:sz w:val="20"/>
                <w:szCs w:val="20"/>
                <w:lang w:eastAsia="tr-TR"/>
              </w:rPr>
              <w:t>YevmiyeliGündelik</w:t>
            </w:r>
            <w:proofErr w:type="spellEnd"/>
            <w:r w:rsidRPr="00B2388B">
              <w:rPr>
                <w:rFonts w:ascii="Arial" w:eastAsia="Times New Roman" w:hAnsi="Arial" w:cs="Arial"/>
                <w:color w:val="000000"/>
                <w:sz w:val="20"/>
                <w:szCs w:val="20"/>
                <w:lang w:eastAsia="tr-TR"/>
              </w:rPr>
              <w:t xml:space="preserve"> Çalışanlar</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1D5CBFB"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245,8%</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1FF42D6"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10,54%</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8B3DFBC"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6,59%</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9B20E4"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0,47%</w:t>
            </w:r>
          </w:p>
        </w:tc>
      </w:tr>
      <w:tr w:rsidR="00B2388B" w:rsidRPr="00B2388B" w14:paraId="01F59500"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BAFB1"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Çalışmayanlar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0118F"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239,4%</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E8952"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10,61%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6D7B2"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6,82%</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D9762"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0,57%</w:t>
            </w:r>
          </w:p>
        </w:tc>
      </w:tr>
      <w:tr w:rsidR="00B2388B" w:rsidRPr="00B2388B" w14:paraId="428E5C65"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61C0FF"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MESLEĞE GÖRE</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235BF9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304FE17"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194B590"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1061CD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r>
      <w:tr w:rsidR="00B2388B" w:rsidRPr="00B2388B" w14:paraId="7F8E435D"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B702C"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Büro Hizmetlerinde Çalışan Elemanlar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B2DE4"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232,8%</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C3881"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10,63%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07AF1"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6,64%</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92D5D"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0,60%</w:t>
            </w:r>
          </w:p>
        </w:tc>
      </w:tr>
      <w:tr w:rsidR="00B2388B" w:rsidRPr="00B2388B" w14:paraId="3B0344BD"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FBB4D49"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Çalışmayanlar</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F909ECC"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239,4%</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A28B135"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10,61%</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6230177"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6,82%</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7FC0973"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0,57%</w:t>
            </w:r>
          </w:p>
        </w:tc>
      </w:tr>
      <w:tr w:rsidR="00B2388B" w:rsidRPr="00B2388B" w14:paraId="4134F472"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D6D6"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Hizmet Ve Satış Elemanları</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E90DC"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233,2%</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7F57A"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10,95%</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133F2"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6,86%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290AD"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0,61%</w:t>
            </w:r>
          </w:p>
        </w:tc>
      </w:tr>
      <w:tr w:rsidR="00B2388B" w:rsidRPr="00B2388B" w14:paraId="7DD638D8"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7928AB7"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Nitelik Gerektirmeyen İşlerde Çalışanlar</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BE04507"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241,6%</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25C50060"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10,41%</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1AC2CC2"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6,55%</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53DC5B4"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0,45%</w:t>
            </w:r>
          </w:p>
        </w:tc>
      </w:tr>
      <w:tr w:rsidR="00B2388B" w:rsidRPr="00B2388B" w14:paraId="4118D3BA"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FA7FD"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Nitelikli Tarım, Ormancılık Ve Su Ürünleri Çalışanları</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C4F94"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230,9%</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5C339"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11,09%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F2F42"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6,79%</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4D0B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0,51%</w:t>
            </w:r>
          </w:p>
        </w:tc>
      </w:tr>
      <w:tr w:rsidR="00B2388B" w:rsidRPr="00B2388B" w14:paraId="1D5270D5"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07F6414"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Profesyonel Meslek Mensupları</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22F477A"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222,5%</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AD60908"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11,37%</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255F76"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7,17%</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4CBE665"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0,79%</w:t>
            </w:r>
          </w:p>
        </w:tc>
      </w:tr>
      <w:tr w:rsidR="00B2388B" w:rsidRPr="00B2388B" w14:paraId="0FE43AF5"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F616F" w14:textId="77777777" w:rsidR="00B2388B" w:rsidRPr="00B2388B" w:rsidRDefault="00B2388B" w:rsidP="00B2388B">
            <w:pPr>
              <w:adjustRightInd w:val="0"/>
              <w:ind w:left="0"/>
              <w:rPr>
                <w:rFonts w:ascii="Arial" w:eastAsia="Times New Roman" w:hAnsi="Arial" w:cs="Arial"/>
                <w:color w:val="000000"/>
                <w:sz w:val="20"/>
                <w:szCs w:val="20"/>
                <w:lang w:eastAsia="tr-TR"/>
              </w:rPr>
            </w:pPr>
            <w:proofErr w:type="gramStart"/>
            <w:r w:rsidRPr="00B2388B">
              <w:rPr>
                <w:rFonts w:ascii="Arial" w:eastAsia="Times New Roman" w:hAnsi="Arial" w:cs="Arial"/>
                <w:color w:val="000000"/>
                <w:sz w:val="20"/>
                <w:szCs w:val="20"/>
                <w:lang w:eastAsia="tr-TR"/>
              </w:rPr>
              <w:t>Sanatkarlar</w:t>
            </w:r>
            <w:proofErr w:type="gramEnd"/>
            <w:r w:rsidRPr="00B2388B">
              <w:rPr>
                <w:rFonts w:ascii="Arial" w:eastAsia="Times New Roman" w:hAnsi="Arial" w:cs="Arial"/>
                <w:color w:val="000000"/>
                <w:sz w:val="20"/>
                <w:szCs w:val="20"/>
                <w:lang w:eastAsia="tr-TR"/>
              </w:rPr>
              <w:t xml:space="preserve"> Ve İlgili İşlerde Çalışanlar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9D929"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235,2%</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CBADC"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10,94%</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94FE8"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6,88%</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B43C9"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0,60%</w:t>
            </w:r>
          </w:p>
        </w:tc>
      </w:tr>
      <w:tr w:rsidR="00B2388B" w:rsidRPr="00B2388B" w14:paraId="63B029A2"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1B680AD"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Teknisyenler, Teknikerler Ve Yardımcı Profesyonel Meslek Mensupları</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173451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228,7%</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E2F4254"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10,90%</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6104D5B"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6,77%</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A7488C7"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0,70%</w:t>
            </w:r>
          </w:p>
        </w:tc>
      </w:tr>
      <w:tr w:rsidR="00B2388B" w:rsidRPr="00B2388B" w14:paraId="19B3321E"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A290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Tesis Ve Makine Operatörleri Ve Montajcılar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EBE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240,7%</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8EE64"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10,62%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E3F82"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6,66%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71526"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0,56%</w:t>
            </w:r>
          </w:p>
        </w:tc>
      </w:tr>
      <w:tr w:rsidR="00B2388B" w:rsidRPr="00B2388B" w14:paraId="093C3FB6"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A965E2D"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Yöneticiler</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A79D71"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227,7%</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A4FE1A0"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11,27%</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58F8E57"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7,19%</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F5489E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0,83%</w:t>
            </w:r>
          </w:p>
        </w:tc>
      </w:tr>
      <w:tr w:rsidR="00B2388B" w:rsidRPr="00B2388B" w14:paraId="74E88CDD"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4F132"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TEMEL GELİR KAYNAĞINA GÖRE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60154"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DB826"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E7255"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4E957"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r>
      <w:tr w:rsidR="00B2388B" w:rsidRPr="00B2388B" w14:paraId="25081BDD"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870E775"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Ücret, yevmiye</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E6C4002"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232,3%</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9E051A9"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10,91%</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DA99E6F"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6,86%</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F2FBA3A"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0,62%</w:t>
            </w:r>
          </w:p>
        </w:tc>
      </w:tr>
      <w:tr w:rsidR="00B2388B" w:rsidRPr="00B2388B" w14:paraId="33955C7D"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1AA21" w14:textId="77777777" w:rsidR="00B2388B" w:rsidRPr="00B2388B" w:rsidRDefault="00B2388B" w:rsidP="00B2388B">
            <w:pPr>
              <w:adjustRightInd w:val="0"/>
              <w:ind w:left="0"/>
              <w:rPr>
                <w:rFonts w:ascii="Arial" w:eastAsia="Times New Roman" w:hAnsi="Arial" w:cs="Arial"/>
                <w:color w:val="000000"/>
                <w:sz w:val="20"/>
                <w:szCs w:val="20"/>
                <w:lang w:eastAsia="tr-TR"/>
              </w:rPr>
            </w:pPr>
            <w:proofErr w:type="spellStart"/>
            <w:r w:rsidRPr="00B2388B">
              <w:rPr>
                <w:rFonts w:ascii="Arial" w:eastAsia="Times New Roman" w:hAnsi="Arial" w:cs="Arial"/>
                <w:color w:val="000000"/>
                <w:sz w:val="20"/>
                <w:szCs w:val="20"/>
                <w:lang w:eastAsia="tr-TR"/>
              </w:rPr>
              <w:t>Mütesebbis</w:t>
            </w:r>
            <w:proofErr w:type="spellEnd"/>
            <w:r w:rsidRPr="00B2388B">
              <w:rPr>
                <w:rFonts w:ascii="Arial" w:eastAsia="Times New Roman" w:hAnsi="Arial" w:cs="Arial"/>
                <w:color w:val="000000"/>
                <w:sz w:val="20"/>
                <w:szCs w:val="20"/>
                <w:lang w:eastAsia="tr-TR"/>
              </w:rPr>
              <w:t xml:space="preserve"> Geliri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87A58"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230,7%</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A714F"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11,33%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9E0E8"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7,09%</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5EBD6"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0,71%</w:t>
            </w:r>
          </w:p>
        </w:tc>
      </w:tr>
      <w:tr w:rsidR="00B2388B" w:rsidRPr="00B2388B" w14:paraId="76954B85"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40A090C"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Emekli aylığı</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009B87A"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238,1%</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FF6CCC0"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10,61%</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A19D6F1"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6,76%</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C579252"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0,55%</w:t>
            </w:r>
          </w:p>
        </w:tc>
      </w:tr>
      <w:tr w:rsidR="00B2388B" w:rsidRPr="00B2388B" w14:paraId="62E127C7"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F37B5"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Diğer Transferler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9077A"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245,1%</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09C4D"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10,10%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90CAA"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6,59%</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B5AA"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0,54%</w:t>
            </w:r>
          </w:p>
        </w:tc>
      </w:tr>
      <w:tr w:rsidR="00B2388B" w:rsidRPr="00B2388B" w14:paraId="37CC25C8"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2BFE238"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Gayrimenkul Kira Geliri Ve Menkul Kıymet Faiz Geliri</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65671E2"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239,0%</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7D5BC889"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10,20%</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5291D04"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6,66%</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54AF5FF"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0,66%</w:t>
            </w:r>
          </w:p>
        </w:tc>
      </w:tr>
      <w:tr w:rsidR="00B2388B" w:rsidRPr="00B2388B" w14:paraId="729690C7"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243F2"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GELİR GRUPLARINA GÖRE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57008"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7C9E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AA660"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D6E8A"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 </w:t>
            </w:r>
          </w:p>
        </w:tc>
      </w:tr>
      <w:tr w:rsidR="00B2388B" w:rsidRPr="00B2388B" w14:paraId="3535E3B3"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53D0AAC"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 Yüzde 20 En Yoksul</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1CF1D02"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241,5%</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6198BC3A"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10,41%</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B79E97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6,59%</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EFF5A3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0,37%</w:t>
            </w:r>
          </w:p>
        </w:tc>
      </w:tr>
      <w:tr w:rsidR="00B2388B" w:rsidRPr="00B2388B" w14:paraId="2E4B7306"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D286F"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 Yüzde 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5256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238,3%</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9D795"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10,62%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05B2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6,74%</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6A457"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0,44%</w:t>
            </w:r>
          </w:p>
        </w:tc>
      </w:tr>
      <w:tr w:rsidR="00B2388B" w:rsidRPr="00B2388B" w14:paraId="0AB00945"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F8889B8"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3. Yüzde 20</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41817D5"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238,1%</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B5724DD"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10,57%</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92E0E00"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6,63%</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16DBD611"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0,55%</w:t>
            </w:r>
          </w:p>
        </w:tc>
      </w:tr>
      <w:tr w:rsidR="00B2388B" w:rsidRPr="00B2388B" w14:paraId="04B71F43"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04D4C"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4. Yüzde 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21D0C"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238,1%</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1374A"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10,57%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2FB4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6,63%</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FCF0E"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0,55%</w:t>
            </w:r>
          </w:p>
        </w:tc>
      </w:tr>
      <w:tr w:rsidR="00B2388B" w:rsidRPr="00B2388B" w14:paraId="6B3FE9A6" w14:textId="77777777" w:rsidTr="00B2388B">
        <w:trPr>
          <w:trHeight w:val="260"/>
          <w:jc w:val="center"/>
        </w:trPr>
        <w:tc>
          <w:tcPr>
            <w:tcW w:w="6513"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036F249"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5. Yüzde 20 En Zengin</w:t>
            </w:r>
          </w:p>
        </w:tc>
        <w:tc>
          <w:tcPr>
            <w:tcW w:w="1559"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56F97CB0"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227,2%</w:t>
            </w:r>
          </w:p>
        </w:tc>
        <w:tc>
          <w:tcPr>
            <w:tcW w:w="1408"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3C313F2F"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11,21%</w:t>
            </w:r>
          </w:p>
        </w:tc>
        <w:tc>
          <w:tcPr>
            <w:tcW w:w="106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4851CEBB"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7,10%</w:t>
            </w:r>
          </w:p>
        </w:tc>
        <w:tc>
          <w:tcPr>
            <w:tcW w:w="100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14:paraId="0574C1EA" w14:textId="77777777" w:rsidR="00B2388B" w:rsidRPr="00B2388B" w:rsidRDefault="00B2388B" w:rsidP="00B2388B">
            <w:pPr>
              <w:adjustRightInd w:val="0"/>
              <w:ind w:left="0"/>
              <w:rPr>
                <w:rFonts w:ascii="Arial" w:eastAsia="Times New Roman" w:hAnsi="Arial" w:cs="Arial"/>
                <w:color w:val="000000"/>
                <w:sz w:val="20"/>
                <w:szCs w:val="20"/>
                <w:lang w:eastAsia="tr-TR"/>
              </w:rPr>
            </w:pPr>
            <w:r w:rsidRPr="00B2388B">
              <w:rPr>
                <w:rFonts w:ascii="Arial" w:eastAsia="Times New Roman" w:hAnsi="Arial" w:cs="Arial"/>
                <w:color w:val="000000"/>
                <w:sz w:val="20"/>
                <w:szCs w:val="20"/>
                <w:lang w:eastAsia="tr-TR"/>
              </w:rPr>
              <w:t>0,80%</w:t>
            </w:r>
          </w:p>
        </w:tc>
      </w:tr>
    </w:tbl>
    <w:p w14:paraId="2AA9C079" w14:textId="77777777" w:rsidR="002B37B8" w:rsidRDefault="002B37B8" w:rsidP="00336F76">
      <w:pPr>
        <w:spacing w:after="240" w:line="360" w:lineRule="auto"/>
        <w:ind w:left="0"/>
        <w:jc w:val="both"/>
        <w:rPr>
          <w:rStyle w:val="apple-style-span"/>
          <w:rFonts w:ascii="Times New Roman" w:hAnsi="Times New Roman" w:cs="Times New Roman"/>
          <w:color w:val="000000"/>
          <w:sz w:val="24"/>
          <w:szCs w:val="24"/>
          <w:shd w:val="clear" w:color="auto" w:fill="FFFFFF"/>
        </w:rPr>
      </w:pPr>
    </w:p>
    <w:p w14:paraId="67383750" w14:textId="77777777" w:rsidR="003B75BA" w:rsidRDefault="003B75BA" w:rsidP="00336F76">
      <w:pPr>
        <w:spacing w:after="240" w:line="360" w:lineRule="auto"/>
        <w:ind w:left="0"/>
        <w:jc w:val="both"/>
        <w:rPr>
          <w:rStyle w:val="apple-style-span"/>
          <w:rFonts w:ascii="Times New Roman" w:hAnsi="Times New Roman" w:cs="Times New Roman"/>
          <w:color w:val="000000"/>
          <w:sz w:val="24"/>
          <w:szCs w:val="24"/>
          <w:shd w:val="clear" w:color="auto" w:fill="FFFFFF"/>
        </w:rPr>
      </w:pPr>
    </w:p>
    <w:sectPr w:rsidR="003B75BA" w:rsidSect="00FB645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6A1DD" w14:textId="77777777" w:rsidR="00826E0D" w:rsidRDefault="00826E0D" w:rsidP="004562E5">
      <w:r>
        <w:separator/>
      </w:r>
    </w:p>
  </w:endnote>
  <w:endnote w:type="continuationSeparator" w:id="0">
    <w:p w14:paraId="50AA0DA1" w14:textId="77777777" w:rsidR="00826E0D" w:rsidRDefault="00826E0D" w:rsidP="0045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21673"/>
      <w:docPartObj>
        <w:docPartGallery w:val="Page Numbers (Bottom of Page)"/>
        <w:docPartUnique/>
      </w:docPartObj>
    </w:sdtPr>
    <w:sdtEndPr/>
    <w:sdtContent>
      <w:p w14:paraId="11449D4E" w14:textId="77777777" w:rsidR="002B37B8" w:rsidRDefault="002B37B8">
        <w:pPr>
          <w:pStyle w:val="AltBilgi"/>
          <w:jc w:val="center"/>
        </w:pPr>
        <w:r>
          <w:fldChar w:fldCharType="begin"/>
        </w:r>
        <w:r>
          <w:instrText xml:space="preserve"> PAGE   \* MERGEFORMAT </w:instrText>
        </w:r>
        <w:r>
          <w:fldChar w:fldCharType="separate"/>
        </w:r>
        <w:r w:rsidR="0071396A">
          <w:rPr>
            <w:noProof/>
          </w:rPr>
          <w:t>3</w:t>
        </w:r>
        <w:r>
          <w:rPr>
            <w:noProof/>
          </w:rPr>
          <w:fldChar w:fldCharType="end"/>
        </w:r>
      </w:p>
    </w:sdtContent>
  </w:sdt>
  <w:p w14:paraId="1053767B" w14:textId="77777777" w:rsidR="002B37B8" w:rsidRDefault="002B37B8">
    <w:pPr>
      <w:pStyle w:val="AltBilgi"/>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D6DEA" w14:textId="77777777" w:rsidR="00826E0D" w:rsidRDefault="00826E0D" w:rsidP="004562E5">
      <w:r>
        <w:separator/>
      </w:r>
    </w:p>
  </w:footnote>
  <w:footnote w:type="continuationSeparator" w:id="0">
    <w:p w14:paraId="13C98F22" w14:textId="77777777" w:rsidR="00826E0D" w:rsidRDefault="00826E0D" w:rsidP="004562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65E39"/>
    <w:multiLevelType w:val="hybridMultilevel"/>
    <w:tmpl w:val="09A6A6D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1F5BB2"/>
    <w:multiLevelType w:val="hybridMultilevel"/>
    <w:tmpl w:val="166A37F0"/>
    <w:lvl w:ilvl="0" w:tplc="D3A01BB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46F7D"/>
    <w:multiLevelType w:val="hybridMultilevel"/>
    <w:tmpl w:val="D7F68534"/>
    <w:lvl w:ilvl="0" w:tplc="D3A01BB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79E0FA1"/>
    <w:multiLevelType w:val="hybridMultilevel"/>
    <w:tmpl w:val="08CA6D4A"/>
    <w:lvl w:ilvl="0" w:tplc="557616B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F105533"/>
    <w:multiLevelType w:val="hybridMultilevel"/>
    <w:tmpl w:val="8CDC44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0CC73D1"/>
    <w:multiLevelType w:val="hybridMultilevel"/>
    <w:tmpl w:val="3A345B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07247A0"/>
    <w:multiLevelType w:val="hybridMultilevel"/>
    <w:tmpl w:val="7AC0924C"/>
    <w:lvl w:ilvl="0" w:tplc="5652F04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9AA6625"/>
    <w:multiLevelType w:val="hybridMultilevel"/>
    <w:tmpl w:val="C11CFE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9E6316A"/>
    <w:multiLevelType w:val="hybridMultilevel"/>
    <w:tmpl w:val="72048318"/>
    <w:lvl w:ilvl="0" w:tplc="F926AFA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FC7548C"/>
    <w:multiLevelType w:val="hybridMultilevel"/>
    <w:tmpl w:val="7B8E6F84"/>
    <w:lvl w:ilvl="0" w:tplc="F926AFA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9"/>
  </w:num>
  <w:num w:numId="6">
    <w:abstractNumId w:val="5"/>
  </w:num>
  <w:num w:numId="7">
    <w:abstractNumId w:val="3"/>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D2"/>
    <w:rsid w:val="00000DF0"/>
    <w:rsid w:val="00000F87"/>
    <w:rsid w:val="00003D17"/>
    <w:rsid w:val="00007037"/>
    <w:rsid w:val="000147CF"/>
    <w:rsid w:val="000159EA"/>
    <w:rsid w:val="00020057"/>
    <w:rsid w:val="000232F1"/>
    <w:rsid w:val="00025EC0"/>
    <w:rsid w:val="00030E44"/>
    <w:rsid w:val="000314AC"/>
    <w:rsid w:val="000327D7"/>
    <w:rsid w:val="00034DE5"/>
    <w:rsid w:val="0003662A"/>
    <w:rsid w:val="00040AA6"/>
    <w:rsid w:val="00040BE1"/>
    <w:rsid w:val="00040E66"/>
    <w:rsid w:val="00044AE5"/>
    <w:rsid w:val="000466EF"/>
    <w:rsid w:val="00046A5F"/>
    <w:rsid w:val="00047079"/>
    <w:rsid w:val="00050E67"/>
    <w:rsid w:val="000512A4"/>
    <w:rsid w:val="00054408"/>
    <w:rsid w:val="00055053"/>
    <w:rsid w:val="00055903"/>
    <w:rsid w:val="00055C77"/>
    <w:rsid w:val="00063ABB"/>
    <w:rsid w:val="000640BD"/>
    <w:rsid w:val="000646E4"/>
    <w:rsid w:val="00065983"/>
    <w:rsid w:val="000669CE"/>
    <w:rsid w:val="00067174"/>
    <w:rsid w:val="00074170"/>
    <w:rsid w:val="0007514B"/>
    <w:rsid w:val="0007576E"/>
    <w:rsid w:val="000824D9"/>
    <w:rsid w:val="00085702"/>
    <w:rsid w:val="000950C2"/>
    <w:rsid w:val="0009706F"/>
    <w:rsid w:val="000A33A6"/>
    <w:rsid w:val="000A65D3"/>
    <w:rsid w:val="000A6C17"/>
    <w:rsid w:val="000B0B15"/>
    <w:rsid w:val="000B31E5"/>
    <w:rsid w:val="000B3369"/>
    <w:rsid w:val="000B4352"/>
    <w:rsid w:val="000C5EB9"/>
    <w:rsid w:val="000C62CC"/>
    <w:rsid w:val="000D12F9"/>
    <w:rsid w:val="000D240C"/>
    <w:rsid w:val="000D403B"/>
    <w:rsid w:val="000D49ED"/>
    <w:rsid w:val="000E03C6"/>
    <w:rsid w:val="000E4747"/>
    <w:rsid w:val="000E639D"/>
    <w:rsid w:val="000E73B5"/>
    <w:rsid w:val="000F097E"/>
    <w:rsid w:val="000F517F"/>
    <w:rsid w:val="000F7147"/>
    <w:rsid w:val="001009BA"/>
    <w:rsid w:val="00100C3D"/>
    <w:rsid w:val="00100C4F"/>
    <w:rsid w:val="00101522"/>
    <w:rsid w:val="00101DEC"/>
    <w:rsid w:val="00101E77"/>
    <w:rsid w:val="00104B8A"/>
    <w:rsid w:val="00107918"/>
    <w:rsid w:val="00111681"/>
    <w:rsid w:val="00114150"/>
    <w:rsid w:val="00116BD0"/>
    <w:rsid w:val="00116FC4"/>
    <w:rsid w:val="00117A60"/>
    <w:rsid w:val="001202AC"/>
    <w:rsid w:val="00122EA0"/>
    <w:rsid w:val="00125996"/>
    <w:rsid w:val="001272EC"/>
    <w:rsid w:val="0012731E"/>
    <w:rsid w:val="00131918"/>
    <w:rsid w:val="001337FD"/>
    <w:rsid w:val="00134314"/>
    <w:rsid w:val="001401BB"/>
    <w:rsid w:val="001402DD"/>
    <w:rsid w:val="00140507"/>
    <w:rsid w:val="00140601"/>
    <w:rsid w:val="00142601"/>
    <w:rsid w:val="001450A6"/>
    <w:rsid w:val="00145A08"/>
    <w:rsid w:val="0015273C"/>
    <w:rsid w:val="00153CC4"/>
    <w:rsid w:val="00154B34"/>
    <w:rsid w:val="00160288"/>
    <w:rsid w:val="00163854"/>
    <w:rsid w:val="00167D6C"/>
    <w:rsid w:val="00172CFF"/>
    <w:rsid w:val="001733D6"/>
    <w:rsid w:val="00180955"/>
    <w:rsid w:val="00180C7D"/>
    <w:rsid w:val="0018293B"/>
    <w:rsid w:val="001842B5"/>
    <w:rsid w:val="001872D5"/>
    <w:rsid w:val="00190648"/>
    <w:rsid w:val="00190FB5"/>
    <w:rsid w:val="001937E7"/>
    <w:rsid w:val="00194EFC"/>
    <w:rsid w:val="00194FA7"/>
    <w:rsid w:val="001A344F"/>
    <w:rsid w:val="001A368F"/>
    <w:rsid w:val="001A5460"/>
    <w:rsid w:val="001B2112"/>
    <w:rsid w:val="001B25F2"/>
    <w:rsid w:val="001B5E46"/>
    <w:rsid w:val="001B6158"/>
    <w:rsid w:val="001B7F56"/>
    <w:rsid w:val="001C109B"/>
    <w:rsid w:val="001C3E08"/>
    <w:rsid w:val="001C61EC"/>
    <w:rsid w:val="001C6640"/>
    <w:rsid w:val="001D0695"/>
    <w:rsid w:val="001E1861"/>
    <w:rsid w:val="001E1D83"/>
    <w:rsid w:val="001E6A07"/>
    <w:rsid w:val="001E74DF"/>
    <w:rsid w:val="001E7A84"/>
    <w:rsid w:val="001F1A5A"/>
    <w:rsid w:val="002104C7"/>
    <w:rsid w:val="00210AA9"/>
    <w:rsid w:val="00213F89"/>
    <w:rsid w:val="00214381"/>
    <w:rsid w:val="00215673"/>
    <w:rsid w:val="002162EE"/>
    <w:rsid w:val="00220D61"/>
    <w:rsid w:val="00221F91"/>
    <w:rsid w:val="0022265F"/>
    <w:rsid w:val="00223752"/>
    <w:rsid w:val="00227A1E"/>
    <w:rsid w:val="00233A32"/>
    <w:rsid w:val="00233FFD"/>
    <w:rsid w:val="002352D9"/>
    <w:rsid w:val="002352ED"/>
    <w:rsid w:val="00235B3F"/>
    <w:rsid w:val="0023687F"/>
    <w:rsid w:val="0024017E"/>
    <w:rsid w:val="00242AAE"/>
    <w:rsid w:val="0024600B"/>
    <w:rsid w:val="00246087"/>
    <w:rsid w:val="00246A56"/>
    <w:rsid w:val="00250DDB"/>
    <w:rsid w:val="00250F35"/>
    <w:rsid w:val="00253174"/>
    <w:rsid w:val="00253B68"/>
    <w:rsid w:val="00255436"/>
    <w:rsid w:val="00256070"/>
    <w:rsid w:val="002623FA"/>
    <w:rsid w:val="00264320"/>
    <w:rsid w:val="00264F10"/>
    <w:rsid w:val="00267692"/>
    <w:rsid w:val="002679F9"/>
    <w:rsid w:val="00270E05"/>
    <w:rsid w:val="00273D1F"/>
    <w:rsid w:val="0027597B"/>
    <w:rsid w:val="00277896"/>
    <w:rsid w:val="00280DF4"/>
    <w:rsid w:val="00283ED2"/>
    <w:rsid w:val="002912CA"/>
    <w:rsid w:val="002975D1"/>
    <w:rsid w:val="002A2DEB"/>
    <w:rsid w:val="002A5FAB"/>
    <w:rsid w:val="002A7E39"/>
    <w:rsid w:val="002B37B8"/>
    <w:rsid w:val="002B5069"/>
    <w:rsid w:val="002B6C8E"/>
    <w:rsid w:val="002B6FFB"/>
    <w:rsid w:val="002B7250"/>
    <w:rsid w:val="002B7474"/>
    <w:rsid w:val="002C0809"/>
    <w:rsid w:val="002C1115"/>
    <w:rsid w:val="002C2955"/>
    <w:rsid w:val="002C342A"/>
    <w:rsid w:val="002C5368"/>
    <w:rsid w:val="002C5C62"/>
    <w:rsid w:val="002C5D3D"/>
    <w:rsid w:val="002C673A"/>
    <w:rsid w:val="002C70EE"/>
    <w:rsid w:val="002C7429"/>
    <w:rsid w:val="002D5E12"/>
    <w:rsid w:val="002E09CE"/>
    <w:rsid w:val="002E2C67"/>
    <w:rsid w:val="002E509F"/>
    <w:rsid w:val="002E764A"/>
    <w:rsid w:val="002F051C"/>
    <w:rsid w:val="002F0FB4"/>
    <w:rsid w:val="002F2E30"/>
    <w:rsid w:val="002F3902"/>
    <w:rsid w:val="002F446D"/>
    <w:rsid w:val="002F52B7"/>
    <w:rsid w:val="002F6727"/>
    <w:rsid w:val="002F6C53"/>
    <w:rsid w:val="002F6CBD"/>
    <w:rsid w:val="00300653"/>
    <w:rsid w:val="00300CD2"/>
    <w:rsid w:val="003023D6"/>
    <w:rsid w:val="00302A3A"/>
    <w:rsid w:val="00302EA4"/>
    <w:rsid w:val="003062AC"/>
    <w:rsid w:val="003105CC"/>
    <w:rsid w:val="00310BD0"/>
    <w:rsid w:val="003119D9"/>
    <w:rsid w:val="00313C16"/>
    <w:rsid w:val="00313F51"/>
    <w:rsid w:val="0031611B"/>
    <w:rsid w:val="0031705A"/>
    <w:rsid w:val="00317670"/>
    <w:rsid w:val="00322ADC"/>
    <w:rsid w:val="00323222"/>
    <w:rsid w:val="003249B0"/>
    <w:rsid w:val="00325022"/>
    <w:rsid w:val="00325333"/>
    <w:rsid w:val="003269C1"/>
    <w:rsid w:val="00330C2A"/>
    <w:rsid w:val="003315E4"/>
    <w:rsid w:val="00331973"/>
    <w:rsid w:val="00331B23"/>
    <w:rsid w:val="003331DD"/>
    <w:rsid w:val="003333F5"/>
    <w:rsid w:val="003341A1"/>
    <w:rsid w:val="003365EF"/>
    <w:rsid w:val="00336F76"/>
    <w:rsid w:val="0034155C"/>
    <w:rsid w:val="00344992"/>
    <w:rsid w:val="0034521C"/>
    <w:rsid w:val="00345DE6"/>
    <w:rsid w:val="0034782B"/>
    <w:rsid w:val="00347FBC"/>
    <w:rsid w:val="003504EA"/>
    <w:rsid w:val="00351698"/>
    <w:rsid w:val="0035398A"/>
    <w:rsid w:val="0035550A"/>
    <w:rsid w:val="00355D5F"/>
    <w:rsid w:val="00357ED2"/>
    <w:rsid w:val="00357EDA"/>
    <w:rsid w:val="00361565"/>
    <w:rsid w:val="00361775"/>
    <w:rsid w:val="00365353"/>
    <w:rsid w:val="00365790"/>
    <w:rsid w:val="00370AD2"/>
    <w:rsid w:val="0037613F"/>
    <w:rsid w:val="00386590"/>
    <w:rsid w:val="0038676C"/>
    <w:rsid w:val="003878C5"/>
    <w:rsid w:val="0039122D"/>
    <w:rsid w:val="00391618"/>
    <w:rsid w:val="00396D45"/>
    <w:rsid w:val="003A0D47"/>
    <w:rsid w:val="003A1864"/>
    <w:rsid w:val="003A203D"/>
    <w:rsid w:val="003A5737"/>
    <w:rsid w:val="003B057E"/>
    <w:rsid w:val="003B0E79"/>
    <w:rsid w:val="003B1395"/>
    <w:rsid w:val="003B3ED8"/>
    <w:rsid w:val="003B7209"/>
    <w:rsid w:val="003B75BA"/>
    <w:rsid w:val="003C1306"/>
    <w:rsid w:val="003D5B8F"/>
    <w:rsid w:val="003E22A3"/>
    <w:rsid w:val="003E2931"/>
    <w:rsid w:val="003E2D3C"/>
    <w:rsid w:val="003E3122"/>
    <w:rsid w:val="003E3B25"/>
    <w:rsid w:val="003E3F92"/>
    <w:rsid w:val="003F0C5C"/>
    <w:rsid w:val="003F1D29"/>
    <w:rsid w:val="003F3574"/>
    <w:rsid w:val="003F47B9"/>
    <w:rsid w:val="003F74E4"/>
    <w:rsid w:val="004032FB"/>
    <w:rsid w:val="004038A1"/>
    <w:rsid w:val="00404054"/>
    <w:rsid w:val="00406EAE"/>
    <w:rsid w:val="004076DC"/>
    <w:rsid w:val="004077A2"/>
    <w:rsid w:val="0040796E"/>
    <w:rsid w:val="0041024C"/>
    <w:rsid w:val="0041424A"/>
    <w:rsid w:val="00414B2D"/>
    <w:rsid w:val="004172AB"/>
    <w:rsid w:val="00417864"/>
    <w:rsid w:val="00422D16"/>
    <w:rsid w:val="00423FF8"/>
    <w:rsid w:val="004245A1"/>
    <w:rsid w:val="00426C71"/>
    <w:rsid w:val="00427183"/>
    <w:rsid w:val="0042747D"/>
    <w:rsid w:val="00430744"/>
    <w:rsid w:val="00431560"/>
    <w:rsid w:val="0043191C"/>
    <w:rsid w:val="00431A03"/>
    <w:rsid w:val="00431CF2"/>
    <w:rsid w:val="00434431"/>
    <w:rsid w:val="0043482E"/>
    <w:rsid w:val="00440D53"/>
    <w:rsid w:val="00442A3C"/>
    <w:rsid w:val="004431F2"/>
    <w:rsid w:val="0045237A"/>
    <w:rsid w:val="004523FE"/>
    <w:rsid w:val="00452606"/>
    <w:rsid w:val="00452E25"/>
    <w:rsid w:val="00453F7E"/>
    <w:rsid w:val="004562E5"/>
    <w:rsid w:val="004606A1"/>
    <w:rsid w:val="00462ADF"/>
    <w:rsid w:val="0046330A"/>
    <w:rsid w:val="0046416A"/>
    <w:rsid w:val="00472FAC"/>
    <w:rsid w:val="00473172"/>
    <w:rsid w:val="00473BC1"/>
    <w:rsid w:val="0047516D"/>
    <w:rsid w:val="00482546"/>
    <w:rsid w:val="004842FE"/>
    <w:rsid w:val="004848F5"/>
    <w:rsid w:val="00484C94"/>
    <w:rsid w:val="004879BC"/>
    <w:rsid w:val="0049062F"/>
    <w:rsid w:val="00490DCA"/>
    <w:rsid w:val="00494BE2"/>
    <w:rsid w:val="00495F4F"/>
    <w:rsid w:val="00496BA5"/>
    <w:rsid w:val="004A0882"/>
    <w:rsid w:val="004A0EA8"/>
    <w:rsid w:val="004A37B1"/>
    <w:rsid w:val="004A620C"/>
    <w:rsid w:val="004B2B84"/>
    <w:rsid w:val="004B4642"/>
    <w:rsid w:val="004B5058"/>
    <w:rsid w:val="004B50C4"/>
    <w:rsid w:val="004B5E2C"/>
    <w:rsid w:val="004B7503"/>
    <w:rsid w:val="004B750D"/>
    <w:rsid w:val="004C1325"/>
    <w:rsid w:val="004C74D6"/>
    <w:rsid w:val="004D049E"/>
    <w:rsid w:val="004D23CC"/>
    <w:rsid w:val="004D6D89"/>
    <w:rsid w:val="004D748D"/>
    <w:rsid w:val="004E0E3C"/>
    <w:rsid w:val="004E142C"/>
    <w:rsid w:val="004E22CA"/>
    <w:rsid w:val="004E264B"/>
    <w:rsid w:val="004E4D40"/>
    <w:rsid w:val="004E5F07"/>
    <w:rsid w:val="004E7A30"/>
    <w:rsid w:val="004E7AAF"/>
    <w:rsid w:val="004F597D"/>
    <w:rsid w:val="004F7D75"/>
    <w:rsid w:val="00500A04"/>
    <w:rsid w:val="005011E7"/>
    <w:rsid w:val="0050247A"/>
    <w:rsid w:val="00502A4B"/>
    <w:rsid w:val="00505E82"/>
    <w:rsid w:val="00507FFA"/>
    <w:rsid w:val="005109D0"/>
    <w:rsid w:val="0051109B"/>
    <w:rsid w:val="00512E2E"/>
    <w:rsid w:val="005141A7"/>
    <w:rsid w:val="00514374"/>
    <w:rsid w:val="005159ED"/>
    <w:rsid w:val="0052093D"/>
    <w:rsid w:val="00521D4C"/>
    <w:rsid w:val="005239DB"/>
    <w:rsid w:val="00531127"/>
    <w:rsid w:val="00534738"/>
    <w:rsid w:val="00535636"/>
    <w:rsid w:val="0053735F"/>
    <w:rsid w:val="00541448"/>
    <w:rsid w:val="00541C19"/>
    <w:rsid w:val="00543F15"/>
    <w:rsid w:val="00544BD5"/>
    <w:rsid w:val="00545BA2"/>
    <w:rsid w:val="005502B4"/>
    <w:rsid w:val="005513FB"/>
    <w:rsid w:val="00551C0E"/>
    <w:rsid w:val="00553A12"/>
    <w:rsid w:val="00554008"/>
    <w:rsid w:val="0055734A"/>
    <w:rsid w:val="005610C1"/>
    <w:rsid w:val="005621A6"/>
    <w:rsid w:val="0056353B"/>
    <w:rsid w:val="00563A7D"/>
    <w:rsid w:val="00571D9F"/>
    <w:rsid w:val="0057332F"/>
    <w:rsid w:val="00573EFA"/>
    <w:rsid w:val="00575572"/>
    <w:rsid w:val="00580261"/>
    <w:rsid w:val="00581503"/>
    <w:rsid w:val="00583148"/>
    <w:rsid w:val="00586873"/>
    <w:rsid w:val="00587547"/>
    <w:rsid w:val="0059297E"/>
    <w:rsid w:val="00592F0F"/>
    <w:rsid w:val="00594899"/>
    <w:rsid w:val="005A10BC"/>
    <w:rsid w:val="005A1C9B"/>
    <w:rsid w:val="005A1EAD"/>
    <w:rsid w:val="005A33F6"/>
    <w:rsid w:val="005A34EC"/>
    <w:rsid w:val="005A52C3"/>
    <w:rsid w:val="005A74E9"/>
    <w:rsid w:val="005B195D"/>
    <w:rsid w:val="005B7FF4"/>
    <w:rsid w:val="005C0363"/>
    <w:rsid w:val="005C1747"/>
    <w:rsid w:val="005C2E34"/>
    <w:rsid w:val="005C3F28"/>
    <w:rsid w:val="005C4A09"/>
    <w:rsid w:val="005C5624"/>
    <w:rsid w:val="005C6539"/>
    <w:rsid w:val="005D423B"/>
    <w:rsid w:val="005D52F2"/>
    <w:rsid w:val="005D630B"/>
    <w:rsid w:val="005D64FE"/>
    <w:rsid w:val="005D6A7B"/>
    <w:rsid w:val="005D748A"/>
    <w:rsid w:val="005E077B"/>
    <w:rsid w:val="005E41F3"/>
    <w:rsid w:val="005E4EAE"/>
    <w:rsid w:val="005E50B7"/>
    <w:rsid w:val="005E6BB1"/>
    <w:rsid w:val="005E6C58"/>
    <w:rsid w:val="005E7AC6"/>
    <w:rsid w:val="005F00F5"/>
    <w:rsid w:val="005F0596"/>
    <w:rsid w:val="005F15B5"/>
    <w:rsid w:val="005F3F5D"/>
    <w:rsid w:val="005F4398"/>
    <w:rsid w:val="005F5FAB"/>
    <w:rsid w:val="005F63E0"/>
    <w:rsid w:val="005F6F80"/>
    <w:rsid w:val="005F72A0"/>
    <w:rsid w:val="005F78F4"/>
    <w:rsid w:val="0060114B"/>
    <w:rsid w:val="00605B0D"/>
    <w:rsid w:val="00607997"/>
    <w:rsid w:val="0061132F"/>
    <w:rsid w:val="0061503E"/>
    <w:rsid w:val="006157B9"/>
    <w:rsid w:val="00617DFF"/>
    <w:rsid w:val="00620EAF"/>
    <w:rsid w:val="00622485"/>
    <w:rsid w:val="00625E16"/>
    <w:rsid w:val="00626255"/>
    <w:rsid w:val="00626862"/>
    <w:rsid w:val="00632712"/>
    <w:rsid w:val="00633C61"/>
    <w:rsid w:val="0063487F"/>
    <w:rsid w:val="00640A62"/>
    <w:rsid w:val="00641F45"/>
    <w:rsid w:val="0065267A"/>
    <w:rsid w:val="00652D9E"/>
    <w:rsid w:val="00655405"/>
    <w:rsid w:val="00655ECE"/>
    <w:rsid w:val="00656F51"/>
    <w:rsid w:val="006603DC"/>
    <w:rsid w:val="00661902"/>
    <w:rsid w:val="00663ED1"/>
    <w:rsid w:val="00667579"/>
    <w:rsid w:val="00667BAD"/>
    <w:rsid w:val="00672705"/>
    <w:rsid w:val="00674A31"/>
    <w:rsid w:val="00675AC1"/>
    <w:rsid w:val="00676199"/>
    <w:rsid w:val="0067636E"/>
    <w:rsid w:val="0067696D"/>
    <w:rsid w:val="006810D5"/>
    <w:rsid w:val="00682C9A"/>
    <w:rsid w:val="00683130"/>
    <w:rsid w:val="0068673D"/>
    <w:rsid w:val="00686ED7"/>
    <w:rsid w:val="00693226"/>
    <w:rsid w:val="0069406F"/>
    <w:rsid w:val="00694506"/>
    <w:rsid w:val="00695F2A"/>
    <w:rsid w:val="0069609B"/>
    <w:rsid w:val="00696155"/>
    <w:rsid w:val="006A0296"/>
    <w:rsid w:val="006A0BB8"/>
    <w:rsid w:val="006A2B6D"/>
    <w:rsid w:val="006A62C6"/>
    <w:rsid w:val="006B01BF"/>
    <w:rsid w:val="006B0C8E"/>
    <w:rsid w:val="006B15B1"/>
    <w:rsid w:val="006B1D3D"/>
    <w:rsid w:val="006B3627"/>
    <w:rsid w:val="006B3B14"/>
    <w:rsid w:val="006B52F0"/>
    <w:rsid w:val="006B5DAF"/>
    <w:rsid w:val="006B68E8"/>
    <w:rsid w:val="006B7822"/>
    <w:rsid w:val="006B7841"/>
    <w:rsid w:val="006C02F4"/>
    <w:rsid w:val="006C0ABF"/>
    <w:rsid w:val="006C23C7"/>
    <w:rsid w:val="006C3CD7"/>
    <w:rsid w:val="006C3FBA"/>
    <w:rsid w:val="006C595D"/>
    <w:rsid w:val="006C5F88"/>
    <w:rsid w:val="006D222D"/>
    <w:rsid w:val="006D24C5"/>
    <w:rsid w:val="006D3A8D"/>
    <w:rsid w:val="006D6029"/>
    <w:rsid w:val="006E0A76"/>
    <w:rsid w:val="006E1EF9"/>
    <w:rsid w:val="006E3685"/>
    <w:rsid w:val="006E60E8"/>
    <w:rsid w:val="006E7A23"/>
    <w:rsid w:val="006F4888"/>
    <w:rsid w:val="006F6014"/>
    <w:rsid w:val="006F759C"/>
    <w:rsid w:val="006F7ABD"/>
    <w:rsid w:val="007008D3"/>
    <w:rsid w:val="00701EF1"/>
    <w:rsid w:val="00702A97"/>
    <w:rsid w:val="0071193C"/>
    <w:rsid w:val="007129CD"/>
    <w:rsid w:val="0071396A"/>
    <w:rsid w:val="0071733B"/>
    <w:rsid w:val="007208A4"/>
    <w:rsid w:val="00720A10"/>
    <w:rsid w:val="007223D9"/>
    <w:rsid w:val="00724119"/>
    <w:rsid w:val="00724A77"/>
    <w:rsid w:val="00725307"/>
    <w:rsid w:val="00730A38"/>
    <w:rsid w:val="00733227"/>
    <w:rsid w:val="007345F7"/>
    <w:rsid w:val="00735BAE"/>
    <w:rsid w:val="00742F96"/>
    <w:rsid w:val="0074316C"/>
    <w:rsid w:val="007444C7"/>
    <w:rsid w:val="00750894"/>
    <w:rsid w:val="007531F9"/>
    <w:rsid w:val="00753A77"/>
    <w:rsid w:val="00755635"/>
    <w:rsid w:val="00755C94"/>
    <w:rsid w:val="00756A5C"/>
    <w:rsid w:val="00756BF9"/>
    <w:rsid w:val="00764FE4"/>
    <w:rsid w:val="007713AF"/>
    <w:rsid w:val="00774EA7"/>
    <w:rsid w:val="007756FF"/>
    <w:rsid w:val="00776F99"/>
    <w:rsid w:val="00781547"/>
    <w:rsid w:val="00782733"/>
    <w:rsid w:val="0078441D"/>
    <w:rsid w:val="0078451D"/>
    <w:rsid w:val="007851EC"/>
    <w:rsid w:val="007869A5"/>
    <w:rsid w:val="007873BC"/>
    <w:rsid w:val="00795BA7"/>
    <w:rsid w:val="007A4B11"/>
    <w:rsid w:val="007A55DA"/>
    <w:rsid w:val="007A6DBB"/>
    <w:rsid w:val="007B2983"/>
    <w:rsid w:val="007B496A"/>
    <w:rsid w:val="007B5033"/>
    <w:rsid w:val="007B51DB"/>
    <w:rsid w:val="007B5D6C"/>
    <w:rsid w:val="007C3A3D"/>
    <w:rsid w:val="007C4B31"/>
    <w:rsid w:val="007D08F3"/>
    <w:rsid w:val="007D49E3"/>
    <w:rsid w:val="007D4A50"/>
    <w:rsid w:val="007D5D09"/>
    <w:rsid w:val="007D5E90"/>
    <w:rsid w:val="007E6317"/>
    <w:rsid w:val="007E641B"/>
    <w:rsid w:val="007E70B6"/>
    <w:rsid w:val="007F1421"/>
    <w:rsid w:val="007F2B0A"/>
    <w:rsid w:val="007F5E77"/>
    <w:rsid w:val="007F719B"/>
    <w:rsid w:val="00802807"/>
    <w:rsid w:val="008052F3"/>
    <w:rsid w:val="00805BBB"/>
    <w:rsid w:val="0080708D"/>
    <w:rsid w:val="008078C6"/>
    <w:rsid w:val="00813C62"/>
    <w:rsid w:val="008140F2"/>
    <w:rsid w:val="0081423A"/>
    <w:rsid w:val="00817D9E"/>
    <w:rsid w:val="00826E0D"/>
    <w:rsid w:val="00826E73"/>
    <w:rsid w:val="008341C0"/>
    <w:rsid w:val="00834293"/>
    <w:rsid w:val="00834437"/>
    <w:rsid w:val="00834A3D"/>
    <w:rsid w:val="0083600F"/>
    <w:rsid w:val="00841572"/>
    <w:rsid w:val="00841CB5"/>
    <w:rsid w:val="00844A7C"/>
    <w:rsid w:val="00846CDA"/>
    <w:rsid w:val="00847E3F"/>
    <w:rsid w:val="0085194B"/>
    <w:rsid w:val="00852E9B"/>
    <w:rsid w:val="008539B5"/>
    <w:rsid w:val="008544CA"/>
    <w:rsid w:val="00855642"/>
    <w:rsid w:val="00860575"/>
    <w:rsid w:val="00863B79"/>
    <w:rsid w:val="008643B3"/>
    <w:rsid w:val="008652B9"/>
    <w:rsid w:val="008656F3"/>
    <w:rsid w:val="0086681A"/>
    <w:rsid w:val="00873286"/>
    <w:rsid w:val="008739F9"/>
    <w:rsid w:val="008746DF"/>
    <w:rsid w:val="00874C51"/>
    <w:rsid w:val="00875327"/>
    <w:rsid w:val="00881430"/>
    <w:rsid w:val="00881E10"/>
    <w:rsid w:val="00882163"/>
    <w:rsid w:val="00882BCF"/>
    <w:rsid w:val="008844BF"/>
    <w:rsid w:val="00886A7A"/>
    <w:rsid w:val="008A0530"/>
    <w:rsid w:val="008A4757"/>
    <w:rsid w:val="008A5B82"/>
    <w:rsid w:val="008A6B97"/>
    <w:rsid w:val="008B128F"/>
    <w:rsid w:val="008B6E31"/>
    <w:rsid w:val="008B75CD"/>
    <w:rsid w:val="008D16BA"/>
    <w:rsid w:val="008D5CE1"/>
    <w:rsid w:val="008D6B2B"/>
    <w:rsid w:val="008E18E7"/>
    <w:rsid w:val="008E4975"/>
    <w:rsid w:val="008E4E47"/>
    <w:rsid w:val="008E549D"/>
    <w:rsid w:val="008F32E5"/>
    <w:rsid w:val="008F5012"/>
    <w:rsid w:val="008F5C8C"/>
    <w:rsid w:val="008F5E18"/>
    <w:rsid w:val="00900D89"/>
    <w:rsid w:val="009015B3"/>
    <w:rsid w:val="00902C08"/>
    <w:rsid w:val="00904B67"/>
    <w:rsid w:val="00905981"/>
    <w:rsid w:val="009120D3"/>
    <w:rsid w:val="009141AD"/>
    <w:rsid w:val="00915845"/>
    <w:rsid w:val="009166A5"/>
    <w:rsid w:val="009174B6"/>
    <w:rsid w:val="00917A86"/>
    <w:rsid w:val="00920C57"/>
    <w:rsid w:val="00921292"/>
    <w:rsid w:val="00922F32"/>
    <w:rsid w:val="00927953"/>
    <w:rsid w:val="00931994"/>
    <w:rsid w:val="00932D43"/>
    <w:rsid w:val="0093435E"/>
    <w:rsid w:val="00940494"/>
    <w:rsid w:val="009415FF"/>
    <w:rsid w:val="00941972"/>
    <w:rsid w:val="00943712"/>
    <w:rsid w:val="00943F22"/>
    <w:rsid w:val="0094483D"/>
    <w:rsid w:val="00947B2E"/>
    <w:rsid w:val="009559E0"/>
    <w:rsid w:val="00955EC5"/>
    <w:rsid w:val="00956ECB"/>
    <w:rsid w:val="00957A35"/>
    <w:rsid w:val="00957A5A"/>
    <w:rsid w:val="00960A2E"/>
    <w:rsid w:val="00960BD5"/>
    <w:rsid w:val="0096405B"/>
    <w:rsid w:val="00964F5C"/>
    <w:rsid w:val="00965243"/>
    <w:rsid w:val="0097027A"/>
    <w:rsid w:val="00970FAA"/>
    <w:rsid w:val="00971AEB"/>
    <w:rsid w:val="00972866"/>
    <w:rsid w:val="00976CCB"/>
    <w:rsid w:val="009807F4"/>
    <w:rsid w:val="0098255C"/>
    <w:rsid w:val="00984521"/>
    <w:rsid w:val="00986BE1"/>
    <w:rsid w:val="009879C7"/>
    <w:rsid w:val="00993302"/>
    <w:rsid w:val="009966FD"/>
    <w:rsid w:val="00997D29"/>
    <w:rsid w:val="009A2782"/>
    <w:rsid w:val="009A3D1B"/>
    <w:rsid w:val="009A46DF"/>
    <w:rsid w:val="009A65AE"/>
    <w:rsid w:val="009B20B0"/>
    <w:rsid w:val="009B2E5F"/>
    <w:rsid w:val="009B49EB"/>
    <w:rsid w:val="009B4F56"/>
    <w:rsid w:val="009C1B42"/>
    <w:rsid w:val="009C386F"/>
    <w:rsid w:val="009C521B"/>
    <w:rsid w:val="009C6474"/>
    <w:rsid w:val="009D5E63"/>
    <w:rsid w:val="009E1E74"/>
    <w:rsid w:val="009E466D"/>
    <w:rsid w:val="009E49BB"/>
    <w:rsid w:val="009E6D14"/>
    <w:rsid w:val="009F4351"/>
    <w:rsid w:val="00A0003D"/>
    <w:rsid w:val="00A01CD7"/>
    <w:rsid w:val="00A04A31"/>
    <w:rsid w:val="00A0763D"/>
    <w:rsid w:val="00A11BB5"/>
    <w:rsid w:val="00A20CF6"/>
    <w:rsid w:val="00A272D9"/>
    <w:rsid w:val="00A30F59"/>
    <w:rsid w:val="00A33F78"/>
    <w:rsid w:val="00A36E82"/>
    <w:rsid w:val="00A40006"/>
    <w:rsid w:val="00A50A87"/>
    <w:rsid w:val="00A50DD5"/>
    <w:rsid w:val="00A53EA7"/>
    <w:rsid w:val="00A6173D"/>
    <w:rsid w:val="00A61ED3"/>
    <w:rsid w:val="00A64806"/>
    <w:rsid w:val="00A6577F"/>
    <w:rsid w:val="00A70351"/>
    <w:rsid w:val="00A7095D"/>
    <w:rsid w:val="00A76A2E"/>
    <w:rsid w:val="00A80F8F"/>
    <w:rsid w:val="00A815D7"/>
    <w:rsid w:val="00A81B8E"/>
    <w:rsid w:val="00A828AE"/>
    <w:rsid w:val="00A836AB"/>
    <w:rsid w:val="00A85F4E"/>
    <w:rsid w:val="00A90EE0"/>
    <w:rsid w:val="00A913BC"/>
    <w:rsid w:val="00A94541"/>
    <w:rsid w:val="00A94C18"/>
    <w:rsid w:val="00A959D2"/>
    <w:rsid w:val="00AA490E"/>
    <w:rsid w:val="00AA4E47"/>
    <w:rsid w:val="00AB0A1A"/>
    <w:rsid w:val="00AB5208"/>
    <w:rsid w:val="00AB59DE"/>
    <w:rsid w:val="00AB6A88"/>
    <w:rsid w:val="00AC6659"/>
    <w:rsid w:val="00AC705C"/>
    <w:rsid w:val="00AC72F4"/>
    <w:rsid w:val="00AC7715"/>
    <w:rsid w:val="00AD6AC7"/>
    <w:rsid w:val="00AD7A24"/>
    <w:rsid w:val="00AE01D6"/>
    <w:rsid w:val="00AE048B"/>
    <w:rsid w:val="00AE0E48"/>
    <w:rsid w:val="00AE0F9B"/>
    <w:rsid w:val="00AE18AC"/>
    <w:rsid w:val="00AF07BD"/>
    <w:rsid w:val="00AF1F94"/>
    <w:rsid w:val="00AF21D6"/>
    <w:rsid w:val="00AF3C25"/>
    <w:rsid w:val="00B02B01"/>
    <w:rsid w:val="00B02C2D"/>
    <w:rsid w:val="00B108D1"/>
    <w:rsid w:val="00B10BE2"/>
    <w:rsid w:val="00B11054"/>
    <w:rsid w:val="00B1260E"/>
    <w:rsid w:val="00B148A1"/>
    <w:rsid w:val="00B153C4"/>
    <w:rsid w:val="00B1593B"/>
    <w:rsid w:val="00B15BFA"/>
    <w:rsid w:val="00B172D3"/>
    <w:rsid w:val="00B21069"/>
    <w:rsid w:val="00B21227"/>
    <w:rsid w:val="00B2388B"/>
    <w:rsid w:val="00B27DE4"/>
    <w:rsid w:val="00B27E82"/>
    <w:rsid w:val="00B31CC1"/>
    <w:rsid w:val="00B334FC"/>
    <w:rsid w:val="00B342E1"/>
    <w:rsid w:val="00B35B84"/>
    <w:rsid w:val="00B406A8"/>
    <w:rsid w:val="00B409A9"/>
    <w:rsid w:val="00B466E1"/>
    <w:rsid w:val="00B50433"/>
    <w:rsid w:val="00B5246E"/>
    <w:rsid w:val="00B53187"/>
    <w:rsid w:val="00B532C0"/>
    <w:rsid w:val="00B55BF4"/>
    <w:rsid w:val="00B560C9"/>
    <w:rsid w:val="00B605F0"/>
    <w:rsid w:val="00B650D0"/>
    <w:rsid w:val="00B665E5"/>
    <w:rsid w:val="00B707DD"/>
    <w:rsid w:val="00B740AD"/>
    <w:rsid w:val="00B74510"/>
    <w:rsid w:val="00B761B9"/>
    <w:rsid w:val="00B800F9"/>
    <w:rsid w:val="00B82FE8"/>
    <w:rsid w:val="00B8321C"/>
    <w:rsid w:val="00B85FE2"/>
    <w:rsid w:val="00B91BBC"/>
    <w:rsid w:val="00B96E31"/>
    <w:rsid w:val="00B970EA"/>
    <w:rsid w:val="00BA1B4F"/>
    <w:rsid w:val="00BA678A"/>
    <w:rsid w:val="00BB0E44"/>
    <w:rsid w:val="00BB4048"/>
    <w:rsid w:val="00BB5817"/>
    <w:rsid w:val="00BB5BCC"/>
    <w:rsid w:val="00BC4F27"/>
    <w:rsid w:val="00BC5817"/>
    <w:rsid w:val="00BC6F28"/>
    <w:rsid w:val="00BC71C1"/>
    <w:rsid w:val="00BD08F2"/>
    <w:rsid w:val="00BD0ACE"/>
    <w:rsid w:val="00BD0C3C"/>
    <w:rsid w:val="00BD18AC"/>
    <w:rsid w:val="00BD3876"/>
    <w:rsid w:val="00BD38A8"/>
    <w:rsid w:val="00BD4698"/>
    <w:rsid w:val="00BD7299"/>
    <w:rsid w:val="00BE1740"/>
    <w:rsid w:val="00BF2D67"/>
    <w:rsid w:val="00BF30BF"/>
    <w:rsid w:val="00C00E08"/>
    <w:rsid w:val="00C02240"/>
    <w:rsid w:val="00C06BB1"/>
    <w:rsid w:val="00C06CE3"/>
    <w:rsid w:val="00C07BC8"/>
    <w:rsid w:val="00C1056F"/>
    <w:rsid w:val="00C120DC"/>
    <w:rsid w:val="00C1245F"/>
    <w:rsid w:val="00C140B6"/>
    <w:rsid w:val="00C1618E"/>
    <w:rsid w:val="00C2020F"/>
    <w:rsid w:val="00C20FB1"/>
    <w:rsid w:val="00C24361"/>
    <w:rsid w:val="00C26B72"/>
    <w:rsid w:val="00C27B3E"/>
    <w:rsid w:val="00C30301"/>
    <w:rsid w:val="00C310AB"/>
    <w:rsid w:val="00C31FBF"/>
    <w:rsid w:val="00C33C6F"/>
    <w:rsid w:val="00C34F2E"/>
    <w:rsid w:val="00C35652"/>
    <w:rsid w:val="00C35944"/>
    <w:rsid w:val="00C37266"/>
    <w:rsid w:val="00C378EF"/>
    <w:rsid w:val="00C37A78"/>
    <w:rsid w:val="00C4106E"/>
    <w:rsid w:val="00C42DCD"/>
    <w:rsid w:val="00C43619"/>
    <w:rsid w:val="00C44433"/>
    <w:rsid w:val="00C45D23"/>
    <w:rsid w:val="00C45F7D"/>
    <w:rsid w:val="00C46050"/>
    <w:rsid w:val="00C502C5"/>
    <w:rsid w:val="00C5208E"/>
    <w:rsid w:val="00C53CE0"/>
    <w:rsid w:val="00C53D84"/>
    <w:rsid w:val="00C545B7"/>
    <w:rsid w:val="00C54758"/>
    <w:rsid w:val="00C556CA"/>
    <w:rsid w:val="00C55D0A"/>
    <w:rsid w:val="00C640F7"/>
    <w:rsid w:val="00C64B60"/>
    <w:rsid w:val="00C666AC"/>
    <w:rsid w:val="00C729A4"/>
    <w:rsid w:val="00C73C95"/>
    <w:rsid w:val="00C73D34"/>
    <w:rsid w:val="00C75F8B"/>
    <w:rsid w:val="00C77609"/>
    <w:rsid w:val="00C84769"/>
    <w:rsid w:val="00C85323"/>
    <w:rsid w:val="00C9088A"/>
    <w:rsid w:val="00C93CFC"/>
    <w:rsid w:val="00CA12AA"/>
    <w:rsid w:val="00CA1D1A"/>
    <w:rsid w:val="00CA258A"/>
    <w:rsid w:val="00CA25F6"/>
    <w:rsid w:val="00CA4EE0"/>
    <w:rsid w:val="00CB2C40"/>
    <w:rsid w:val="00CB3D38"/>
    <w:rsid w:val="00CC0313"/>
    <w:rsid w:val="00CD5232"/>
    <w:rsid w:val="00CD6A6C"/>
    <w:rsid w:val="00CD78D1"/>
    <w:rsid w:val="00CE1554"/>
    <w:rsid w:val="00CE1CFB"/>
    <w:rsid w:val="00CE2D27"/>
    <w:rsid w:val="00CE704D"/>
    <w:rsid w:val="00CF2F56"/>
    <w:rsid w:val="00CF305D"/>
    <w:rsid w:val="00CF4367"/>
    <w:rsid w:val="00CF4574"/>
    <w:rsid w:val="00CF59B4"/>
    <w:rsid w:val="00D012FF"/>
    <w:rsid w:val="00D01E00"/>
    <w:rsid w:val="00D035E1"/>
    <w:rsid w:val="00D05596"/>
    <w:rsid w:val="00D06173"/>
    <w:rsid w:val="00D10CAB"/>
    <w:rsid w:val="00D10D95"/>
    <w:rsid w:val="00D13125"/>
    <w:rsid w:val="00D133B3"/>
    <w:rsid w:val="00D139D5"/>
    <w:rsid w:val="00D141D0"/>
    <w:rsid w:val="00D14681"/>
    <w:rsid w:val="00D15644"/>
    <w:rsid w:val="00D17DE3"/>
    <w:rsid w:val="00D20E42"/>
    <w:rsid w:val="00D243E7"/>
    <w:rsid w:val="00D24E06"/>
    <w:rsid w:val="00D273A4"/>
    <w:rsid w:val="00D27DDF"/>
    <w:rsid w:val="00D27F37"/>
    <w:rsid w:val="00D30537"/>
    <w:rsid w:val="00D31972"/>
    <w:rsid w:val="00D34DB3"/>
    <w:rsid w:val="00D369E2"/>
    <w:rsid w:val="00D41A6A"/>
    <w:rsid w:val="00D466F2"/>
    <w:rsid w:val="00D47BC8"/>
    <w:rsid w:val="00D53771"/>
    <w:rsid w:val="00D5396C"/>
    <w:rsid w:val="00D54762"/>
    <w:rsid w:val="00D54771"/>
    <w:rsid w:val="00D552D6"/>
    <w:rsid w:val="00D60B43"/>
    <w:rsid w:val="00D658E4"/>
    <w:rsid w:val="00D65E45"/>
    <w:rsid w:val="00D675F8"/>
    <w:rsid w:val="00D747B2"/>
    <w:rsid w:val="00D762DC"/>
    <w:rsid w:val="00D77B8C"/>
    <w:rsid w:val="00D83113"/>
    <w:rsid w:val="00D8536C"/>
    <w:rsid w:val="00D85AE3"/>
    <w:rsid w:val="00D86D03"/>
    <w:rsid w:val="00D916B1"/>
    <w:rsid w:val="00D94D57"/>
    <w:rsid w:val="00DA4753"/>
    <w:rsid w:val="00DA5667"/>
    <w:rsid w:val="00DA7846"/>
    <w:rsid w:val="00DB18B8"/>
    <w:rsid w:val="00DB4576"/>
    <w:rsid w:val="00DB593D"/>
    <w:rsid w:val="00DB679A"/>
    <w:rsid w:val="00DC25F5"/>
    <w:rsid w:val="00DC2D32"/>
    <w:rsid w:val="00DC4408"/>
    <w:rsid w:val="00DC61E6"/>
    <w:rsid w:val="00DD113D"/>
    <w:rsid w:val="00DD2695"/>
    <w:rsid w:val="00DD291C"/>
    <w:rsid w:val="00DD2D67"/>
    <w:rsid w:val="00DD555A"/>
    <w:rsid w:val="00DD5DC9"/>
    <w:rsid w:val="00DD6F5C"/>
    <w:rsid w:val="00DE2002"/>
    <w:rsid w:val="00DE25AC"/>
    <w:rsid w:val="00DF15EA"/>
    <w:rsid w:val="00DF2493"/>
    <w:rsid w:val="00DF4874"/>
    <w:rsid w:val="00DF526D"/>
    <w:rsid w:val="00DF6A4B"/>
    <w:rsid w:val="00DF7AE4"/>
    <w:rsid w:val="00E01EDF"/>
    <w:rsid w:val="00E03F17"/>
    <w:rsid w:val="00E0410C"/>
    <w:rsid w:val="00E0712F"/>
    <w:rsid w:val="00E14462"/>
    <w:rsid w:val="00E1759E"/>
    <w:rsid w:val="00E21B69"/>
    <w:rsid w:val="00E23D33"/>
    <w:rsid w:val="00E25839"/>
    <w:rsid w:val="00E26780"/>
    <w:rsid w:val="00E26A21"/>
    <w:rsid w:val="00E30EF7"/>
    <w:rsid w:val="00E31C23"/>
    <w:rsid w:val="00E35BC9"/>
    <w:rsid w:val="00E36572"/>
    <w:rsid w:val="00E4116E"/>
    <w:rsid w:val="00E41972"/>
    <w:rsid w:val="00E468A2"/>
    <w:rsid w:val="00E55400"/>
    <w:rsid w:val="00E559CC"/>
    <w:rsid w:val="00E566D6"/>
    <w:rsid w:val="00E56CFB"/>
    <w:rsid w:val="00E70386"/>
    <w:rsid w:val="00E725D7"/>
    <w:rsid w:val="00E74649"/>
    <w:rsid w:val="00E7535E"/>
    <w:rsid w:val="00E753F7"/>
    <w:rsid w:val="00E77911"/>
    <w:rsid w:val="00E802FA"/>
    <w:rsid w:val="00E828F3"/>
    <w:rsid w:val="00E87A4E"/>
    <w:rsid w:val="00E93F4C"/>
    <w:rsid w:val="00EA2157"/>
    <w:rsid w:val="00EA2429"/>
    <w:rsid w:val="00EA2613"/>
    <w:rsid w:val="00EA2708"/>
    <w:rsid w:val="00EA3A81"/>
    <w:rsid w:val="00EB7989"/>
    <w:rsid w:val="00EC0534"/>
    <w:rsid w:val="00EC4513"/>
    <w:rsid w:val="00ED12BC"/>
    <w:rsid w:val="00ED6296"/>
    <w:rsid w:val="00EE0888"/>
    <w:rsid w:val="00EE0A83"/>
    <w:rsid w:val="00EE1EAD"/>
    <w:rsid w:val="00EE3F9D"/>
    <w:rsid w:val="00EE4014"/>
    <w:rsid w:val="00EE4F18"/>
    <w:rsid w:val="00EE64B4"/>
    <w:rsid w:val="00EE6E42"/>
    <w:rsid w:val="00EE705E"/>
    <w:rsid w:val="00EF1684"/>
    <w:rsid w:val="00EF1F85"/>
    <w:rsid w:val="00EF3CE7"/>
    <w:rsid w:val="00EF7544"/>
    <w:rsid w:val="00F00F25"/>
    <w:rsid w:val="00F0197B"/>
    <w:rsid w:val="00F02225"/>
    <w:rsid w:val="00F02A7A"/>
    <w:rsid w:val="00F02B0C"/>
    <w:rsid w:val="00F032BB"/>
    <w:rsid w:val="00F06125"/>
    <w:rsid w:val="00F07207"/>
    <w:rsid w:val="00F12DFA"/>
    <w:rsid w:val="00F139B5"/>
    <w:rsid w:val="00F166F0"/>
    <w:rsid w:val="00F17ACC"/>
    <w:rsid w:val="00F2156B"/>
    <w:rsid w:val="00F256AE"/>
    <w:rsid w:val="00F25B83"/>
    <w:rsid w:val="00F275D1"/>
    <w:rsid w:val="00F306FE"/>
    <w:rsid w:val="00F30DE3"/>
    <w:rsid w:val="00F3198E"/>
    <w:rsid w:val="00F33A95"/>
    <w:rsid w:val="00F342BB"/>
    <w:rsid w:val="00F37A44"/>
    <w:rsid w:val="00F41884"/>
    <w:rsid w:val="00F44DA4"/>
    <w:rsid w:val="00F45E67"/>
    <w:rsid w:val="00F463D8"/>
    <w:rsid w:val="00F50D63"/>
    <w:rsid w:val="00F51090"/>
    <w:rsid w:val="00F51768"/>
    <w:rsid w:val="00F54637"/>
    <w:rsid w:val="00F552D5"/>
    <w:rsid w:val="00F55607"/>
    <w:rsid w:val="00F6096E"/>
    <w:rsid w:val="00F621E7"/>
    <w:rsid w:val="00F63213"/>
    <w:rsid w:val="00F64A90"/>
    <w:rsid w:val="00F64BFF"/>
    <w:rsid w:val="00F65FEB"/>
    <w:rsid w:val="00F66011"/>
    <w:rsid w:val="00F72973"/>
    <w:rsid w:val="00F76299"/>
    <w:rsid w:val="00F76BA9"/>
    <w:rsid w:val="00F76BCB"/>
    <w:rsid w:val="00F82F4C"/>
    <w:rsid w:val="00F83DB3"/>
    <w:rsid w:val="00F8463C"/>
    <w:rsid w:val="00F850CD"/>
    <w:rsid w:val="00F87908"/>
    <w:rsid w:val="00F879D9"/>
    <w:rsid w:val="00F92E78"/>
    <w:rsid w:val="00F946AD"/>
    <w:rsid w:val="00F94970"/>
    <w:rsid w:val="00F9533F"/>
    <w:rsid w:val="00F97C59"/>
    <w:rsid w:val="00FA0954"/>
    <w:rsid w:val="00FA3ADD"/>
    <w:rsid w:val="00FB00EF"/>
    <w:rsid w:val="00FB1761"/>
    <w:rsid w:val="00FB645D"/>
    <w:rsid w:val="00FB7722"/>
    <w:rsid w:val="00FB7B95"/>
    <w:rsid w:val="00FC0DC9"/>
    <w:rsid w:val="00FC1ACB"/>
    <w:rsid w:val="00FC1B46"/>
    <w:rsid w:val="00FC263B"/>
    <w:rsid w:val="00FC4AE2"/>
    <w:rsid w:val="00FC7EFB"/>
    <w:rsid w:val="00FD523A"/>
    <w:rsid w:val="00FD5DF4"/>
    <w:rsid w:val="00FD770D"/>
    <w:rsid w:val="00FE05BE"/>
    <w:rsid w:val="00FE0905"/>
    <w:rsid w:val="00FE1369"/>
    <w:rsid w:val="00FE1AFA"/>
    <w:rsid w:val="00FE2CEC"/>
    <w:rsid w:val="00FE39FE"/>
    <w:rsid w:val="00FF1A16"/>
    <w:rsid w:val="00FF1C84"/>
  </w:rsids>
  <m:mathPr>
    <m:mathFont m:val="Cambria Math"/>
    <m:brkBin m:val="before"/>
    <m:brkBinSub m:val="--"/>
    <m:smallFrac/>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1ADA"/>
  <w15:docId w15:val="{9A7FC233-869D-4EB9-AC31-8EECE977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ind w:left="482"/>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64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style-span">
    <w:name w:val="apple-style-span"/>
    <w:basedOn w:val="VarsaylanParagrafYazTipi"/>
    <w:rsid w:val="00357ED2"/>
  </w:style>
  <w:style w:type="character" w:customStyle="1" w:styleId="apple-converted-space">
    <w:name w:val="apple-converted-space"/>
    <w:basedOn w:val="VarsaylanParagrafYazTipi"/>
    <w:rsid w:val="00357ED2"/>
  </w:style>
  <w:style w:type="character" w:styleId="Kpr">
    <w:name w:val="Hyperlink"/>
    <w:basedOn w:val="VarsaylanParagrafYazTipi"/>
    <w:uiPriority w:val="99"/>
    <w:semiHidden/>
    <w:unhideWhenUsed/>
    <w:rsid w:val="00A828AE"/>
    <w:rPr>
      <w:color w:val="0000FF"/>
      <w:u w:val="single"/>
    </w:rPr>
  </w:style>
  <w:style w:type="paragraph" w:styleId="ListeParagraf">
    <w:name w:val="List Paragraph"/>
    <w:basedOn w:val="Normal"/>
    <w:uiPriority w:val="34"/>
    <w:qFormat/>
    <w:rsid w:val="007F5E77"/>
    <w:pPr>
      <w:ind w:left="720"/>
      <w:contextualSpacing/>
    </w:pPr>
  </w:style>
  <w:style w:type="paragraph" w:styleId="NormalWeb">
    <w:name w:val="Normal (Web)"/>
    <w:basedOn w:val="Normal"/>
    <w:uiPriority w:val="99"/>
    <w:unhideWhenUsed/>
    <w:rsid w:val="00253B68"/>
    <w:pPr>
      <w:spacing w:before="100" w:beforeAutospacing="1" w:after="100" w:afterAutospacing="1"/>
      <w:ind w:left="0"/>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53B68"/>
    <w:rPr>
      <w:b/>
      <w:bCs/>
    </w:rPr>
  </w:style>
  <w:style w:type="paragraph" w:styleId="stBilgi">
    <w:name w:val="header"/>
    <w:basedOn w:val="Normal"/>
    <w:link w:val="stBilgiChar"/>
    <w:uiPriority w:val="99"/>
    <w:semiHidden/>
    <w:unhideWhenUsed/>
    <w:rsid w:val="004562E5"/>
    <w:pPr>
      <w:tabs>
        <w:tab w:val="center" w:pos="4536"/>
        <w:tab w:val="right" w:pos="9072"/>
      </w:tabs>
    </w:pPr>
  </w:style>
  <w:style w:type="character" w:customStyle="1" w:styleId="stBilgiChar">
    <w:name w:val="Üst Bilgi Char"/>
    <w:basedOn w:val="VarsaylanParagrafYazTipi"/>
    <w:link w:val="stBilgi"/>
    <w:uiPriority w:val="99"/>
    <w:semiHidden/>
    <w:rsid w:val="004562E5"/>
  </w:style>
  <w:style w:type="paragraph" w:styleId="AltBilgi">
    <w:name w:val="footer"/>
    <w:basedOn w:val="Normal"/>
    <w:link w:val="AltBilgiChar"/>
    <w:uiPriority w:val="99"/>
    <w:unhideWhenUsed/>
    <w:rsid w:val="004562E5"/>
    <w:pPr>
      <w:tabs>
        <w:tab w:val="center" w:pos="4536"/>
        <w:tab w:val="right" w:pos="9072"/>
      </w:tabs>
    </w:pPr>
  </w:style>
  <w:style w:type="character" w:customStyle="1" w:styleId="AltBilgiChar">
    <w:name w:val="Alt Bilgi Char"/>
    <w:basedOn w:val="VarsaylanParagrafYazTipi"/>
    <w:link w:val="AltBilgi"/>
    <w:uiPriority w:val="99"/>
    <w:rsid w:val="004562E5"/>
  </w:style>
  <w:style w:type="paragraph" w:styleId="BalonMetni">
    <w:name w:val="Balloon Text"/>
    <w:basedOn w:val="Normal"/>
    <w:link w:val="BalonMetniChar"/>
    <w:uiPriority w:val="99"/>
    <w:semiHidden/>
    <w:unhideWhenUsed/>
    <w:rsid w:val="004A0EA8"/>
    <w:rPr>
      <w:rFonts w:ascii="Tahoma" w:hAnsi="Tahoma" w:cs="Tahoma"/>
      <w:sz w:val="16"/>
      <w:szCs w:val="16"/>
    </w:rPr>
  </w:style>
  <w:style w:type="character" w:customStyle="1" w:styleId="BalonMetniChar">
    <w:name w:val="Balon Metni Char"/>
    <w:basedOn w:val="VarsaylanParagrafYazTipi"/>
    <w:link w:val="BalonMetni"/>
    <w:uiPriority w:val="99"/>
    <w:semiHidden/>
    <w:rsid w:val="004A0E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2170">
      <w:bodyDiv w:val="1"/>
      <w:marLeft w:val="0"/>
      <w:marRight w:val="0"/>
      <w:marTop w:val="0"/>
      <w:marBottom w:val="0"/>
      <w:divBdr>
        <w:top w:val="none" w:sz="0" w:space="0" w:color="auto"/>
        <w:left w:val="none" w:sz="0" w:space="0" w:color="auto"/>
        <w:bottom w:val="none" w:sz="0" w:space="0" w:color="auto"/>
        <w:right w:val="none" w:sz="0" w:space="0" w:color="auto"/>
      </w:divBdr>
    </w:div>
    <w:div w:id="166527245">
      <w:bodyDiv w:val="1"/>
      <w:marLeft w:val="0"/>
      <w:marRight w:val="0"/>
      <w:marTop w:val="0"/>
      <w:marBottom w:val="0"/>
      <w:divBdr>
        <w:top w:val="none" w:sz="0" w:space="0" w:color="auto"/>
        <w:left w:val="none" w:sz="0" w:space="0" w:color="auto"/>
        <w:bottom w:val="none" w:sz="0" w:space="0" w:color="auto"/>
        <w:right w:val="none" w:sz="0" w:space="0" w:color="auto"/>
      </w:divBdr>
    </w:div>
    <w:div w:id="257295154">
      <w:bodyDiv w:val="1"/>
      <w:marLeft w:val="0"/>
      <w:marRight w:val="0"/>
      <w:marTop w:val="0"/>
      <w:marBottom w:val="0"/>
      <w:divBdr>
        <w:top w:val="none" w:sz="0" w:space="0" w:color="auto"/>
        <w:left w:val="none" w:sz="0" w:space="0" w:color="auto"/>
        <w:bottom w:val="none" w:sz="0" w:space="0" w:color="auto"/>
        <w:right w:val="none" w:sz="0" w:space="0" w:color="auto"/>
      </w:divBdr>
    </w:div>
    <w:div w:id="302276670">
      <w:bodyDiv w:val="1"/>
      <w:marLeft w:val="0"/>
      <w:marRight w:val="0"/>
      <w:marTop w:val="0"/>
      <w:marBottom w:val="0"/>
      <w:divBdr>
        <w:top w:val="none" w:sz="0" w:space="0" w:color="auto"/>
        <w:left w:val="none" w:sz="0" w:space="0" w:color="auto"/>
        <w:bottom w:val="none" w:sz="0" w:space="0" w:color="auto"/>
        <w:right w:val="none" w:sz="0" w:space="0" w:color="auto"/>
      </w:divBdr>
    </w:div>
    <w:div w:id="315767234">
      <w:bodyDiv w:val="1"/>
      <w:marLeft w:val="0"/>
      <w:marRight w:val="0"/>
      <w:marTop w:val="0"/>
      <w:marBottom w:val="0"/>
      <w:divBdr>
        <w:top w:val="none" w:sz="0" w:space="0" w:color="auto"/>
        <w:left w:val="none" w:sz="0" w:space="0" w:color="auto"/>
        <w:bottom w:val="none" w:sz="0" w:space="0" w:color="auto"/>
        <w:right w:val="none" w:sz="0" w:space="0" w:color="auto"/>
      </w:divBdr>
    </w:div>
    <w:div w:id="420685827">
      <w:bodyDiv w:val="1"/>
      <w:marLeft w:val="0"/>
      <w:marRight w:val="0"/>
      <w:marTop w:val="0"/>
      <w:marBottom w:val="0"/>
      <w:divBdr>
        <w:top w:val="none" w:sz="0" w:space="0" w:color="auto"/>
        <w:left w:val="none" w:sz="0" w:space="0" w:color="auto"/>
        <w:bottom w:val="none" w:sz="0" w:space="0" w:color="auto"/>
        <w:right w:val="none" w:sz="0" w:space="0" w:color="auto"/>
      </w:divBdr>
    </w:div>
    <w:div w:id="624583429">
      <w:bodyDiv w:val="1"/>
      <w:marLeft w:val="0"/>
      <w:marRight w:val="0"/>
      <w:marTop w:val="0"/>
      <w:marBottom w:val="0"/>
      <w:divBdr>
        <w:top w:val="none" w:sz="0" w:space="0" w:color="auto"/>
        <w:left w:val="none" w:sz="0" w:space="0" w:color="auto"/>
        <w:bottom w:val="none" w:sz="0" w:space="0" w:color="auto"/>
        <w:right w:val="none" w:sz="0" w:space="0" w:color="auto"/>
      </w:divBdr>
    </w:div>
    <w:div w:id="633801820">
      <w:bodyDiv w:val="1"/>
      <w:marLeft w:val="0"/>
      <w:marRight w:val="0"/>
      <w:marTop w:val="0"/>
      <w:marBottom w:val="0"/>
      <w:divBdr>
        <w:top w:val="none" w:sz="0" w:space="0" w:color="auto"/>
        <w:left w:val="none" w:sz="0" w:space="0" w:color="auto"/>
        <w:bottom w:val="none" w:sz="0" w:space="0" w:color="auto"/>
        <w:right w:val="none" w:sz="0" w:space="0" w:color="auto"/>
      </w:divBdr>
    </w:div>
    <w:div w:id="642345507">
      <w:bodyDiv w:val="1"/>
      <w:marLeft w:val="0"/>
      <w:marRight w:val="0"/>
      <w:marTop w:val="0"/>
      <w:marBottom w:val="0"/>
      <w:divBdr>
        <w:top w:val="none" w:sz="0" w:space="0" w:color="auto"/>
        <w:left w:val="none" w:sz="0" w:space="0" w:color="auto"/>
        <w:bottom w:val="none" w:sz="0" w:space="0" w:color="auto"/>
        <w:right w:val="none" w:sz="0" w:space="0" w:color="auto"/>
      </w:divBdr>
    </w:div>
    <w:div w:id="669528864">
      <w:bodyDiv w:val="1"/>
      <w:marLeft w:val="0"/>
      <w:marRight w:val="0"/>
      <w:marTop w:val="0"/>
      <w:marBottom w:val="0"/>
      <w:divBdr>
        <w:top w:val="none" w:sz="0" w:space="0" w:color="auto"/>
        <w:left w:val="none" w:sz="0" w:space="0" w:color="auto"/>
        <w:bottom w:val="none" w:sz="0" w:space="0" w:color="auto"/>
        <w:right w:val="none" w:sz="0" w:space="0" w:color="auto"/>
      </w:divBdr>
    </w:div>
    <w:div w:id="817039894">
      <w:bodyDiv w:val="1"/>
      <w:marLeft w:val="0"/>
      <w:marRight w:val="0"/>
      <w:marTop w:val="0"/>
      <w:marBottom w:val="0"/>
      <w:divBdr>
        <w:top w:val="none" w:sz="0" w:space="0" w:color="auto"/>
        <w:left w:val="none" w:sz="0" w:space="0" w:color="auto"/>
        <w:bottom w:val="none" w:sz="0" w:space="0" w:color="auto"/>
        <w:right w:val="none" w:sz="0" w:space="0" w:color="auto"/>
      </w:divBdr>
    </w:div>
    <w:div w:id="877202598">
      <w:bodyDiv w:val="1"/>
      <w:marLeft w:val="0"/>
      <w:marRight w:val="0"/>
      <w:marTop w:val="0"/>
      <w:marBottom w:val="0"/>
      <w:divBdr>
        <w:top w:val="none" w:sz="0" w:space="0" w:color="auto"/>
        <w:left w:val="none" w:sz="0" w:space="0" w:color="auto"/>
        <w:bottom w:val="none" w:sz="0" w:space="0" w:color="auto"/>
        <w:right w:val="none" w:sz="0" w:space="0" w:color="auto"/>
      </w:divBdr>
    </w:div>
    <w:div w:id="955022139">
      <w:bodyDiv w:val="1"/>
      <w:marLeft w:val="0"/>
      <w:marRight w:val="0"/>
      <w:marTop w:val="0"/>
      <w:marBottom w:val="0"/>
      <w:divBdr>
        <w:top w:val="none" w:sz="0" w:space="0" w:color="auto"/>
        <w:left w:val="none" w:sz="0" w:space="0" w:color="auto"/>
        <w:bottom w:val="none" w:sz="0" w:space="0" w:color="auto"/>
        <w:right w:val="none" w:sz="0" w:space="0" w:color="auto"/>
      </w:divBdr>
    </w:div>
    <w:div w:id="962929240">
      <w:bodyDiv w:val="1"/>
      <w:marLeft w:val="0"/>
      <w:marRight w:val="0"/>
      <w:marTop w:val="0"/>
      <w:marBottom w:val="0"/>
      <w:divBdr>
        <w:top w:val="none" w:sz="0" w:space="0" w:color="auto"/>
        <w:left w:val="none" w:sz="0" w:space="0" w:color="auto"/>
        <w:bottom w:val="none" w:sz="0" w:space="0" w:color="auto"/>
        <w:right w:val="none" w:sz="0" w:space="0" w:color="auto"/>
      </w:divBdr>
    </w:div>
    <w:div w:id="963191514">
      <w:bodyDiv w:val="1"/>
      <w:marLeft w:val="0"/>
      <w:marRight w:val="0"/>
      <w:marTop w:val="0"/>
      <w:marBottom w:val="0"/>
      <w:divBdr>
        <w:top w:val="none" w:sz="0" w:space="0" w:color="auto"/>
        <w:left w:val="none" w:sz="0" w:space="0" w:color="auto"/>
        <w:bottom w:val="none" w:sz="0" w:space="0" w:color="auto"/>
        <w:right w:val="none" w:sz="0" w:space="0" w:color="auto"/>
      </w:divBdr>
    </w:div>
    <w:div w:id="1014726647">
      <w:bodyDiv w:val="1"/>
      <w:marLeft w:val="0"/>
      <w:marRight w:val="0"/>
      <w:marTop w:val="0"/>
      <w:marBottom w:val="0"/>
      <w:divBdr>
        <w:top w:val="none" w:sz="0" w:space="0" w:color="auto"/>
        <w:left w:val="none" w:sz="0" w:space="0" w:color="auto"/>
        <w:bottom w:val="none" w:sz="0" w:space="0" w:color="auto"/>
        <w:right w:val="none" w:sz="0" w:space="0" w:color="auto"/>
      </w:divBdr>
    </w:div>
    <w:div w:id="1407873551">
      <w:bodyDiv w:val="1"/>
      <w:marLeft w:val="0"/>
      <w:marRight w:val="0"/>
      <w:marTop w:val="0"/>
      <w:marBottom w:val="0"/>
      <w:divBdr>
        <w:top w:val="none" w:sz="0" w:space="0" w:color="auto"/>
        <w:left w:val="none" w:sz="0" w:space="0" w:color="auto"/>
        <w:bottom w:val="none" w:sz="0" w:space="0" w:color="auto"/>
        <w:right w:val="none" w:sz="0" w:space="0" w:color="auto"/>
      </w:divBdr>
    </w:div>
    <w:div w:id="1439721302">
      <w:bodyDiv w:val="1"/>
      <w:marLeft w:val="0"/>
      <w:marRight w:val="0"/>
      <w:marTop w:val="0"/>
      <w:marBottom w:val="0"/>
      <w:divBdr>
        <w:top w:val="none" w:sz="0" w:space="0" w:color="auto"/>
        <w:left w:val="none" w:sz="0" w:space="0" w:color="auto"/>
        <w:bottom w:val="none" w:sz="0" w:space="0" w:color="auto"/>
        <w:right w:val="none" w:sz="0" w:space="0" w:color="auto"/>
      </w:divBdr>
    </w:div>
    <w:div w:id="1581718706">
      <w:bodyDiv w:val="1"/>
      <w:marLeft w:val="0"/>
      <w:marRight w:val="0"/>
      <w:marTop w:val="0"/>
      <w:marBottom w:val="0"/>
      <w:divBdr>
        <w:top w:val="none" w:sz="0" w:space="0" w:color="auto"/>
        <w:left w:val="none" w:sz="0" w:space="0" w:color="auto"/>
        <w:bottom w:val="none" w:sz="0" w:space="0" w:color="auto"/>
        <w:right w:val="none" w:sz="0" w:space="0" w:color="auto"/>
      </w:divBdr>
    </w:div>
    <w:div w:id="1728602958">
      <w:bodyDiv w:val="1"/>
      <w:marLeft w:val="0"/>
      <w:marRight w:val="0"/>
      <w:marTop w:val="0"/>
      <w:marBottom w:val="0"/>
      <w:divBdr>
        <w:top w:val="none" w:sz="0" w:space="0" w:color="auto"/>
        <w:left w:val="none" w:sz="0" w:space="0" w:color="auto"/>
        <w:bottom w:val="none" w:sz="0" w:space="0" w:color="auto"/>
        <w:right w:val="none" w:sz="0" w:space="0" w:color="auto"/>
      </w:divBdr>
    </w:div>
    <w:div w:id="1752044839">
      <w:bodyDiv w:val="1"/>
      <w:marLeft w:val="0"/>
      <w:marRight w:val="0"/>
      <w:marTop w:val="0"/>
      <w:marBottom w:val="0"/>
      <w:divBdr>
        <w:top w:val="none" w:sz="0" w:space="0" w:color="auto"/>
        <w:left w:val="none" w:sz="0" w:space="0" w:color="auto"/>
        <w:bottom w:val="none" w:sz="0" w:space="0" w:color="auto"/>
        <w:right w:val="none" w:sz="0" w:space="0" w:color="auto"/>
      </w:divBdr>
    </w:div>
    <w:div w:id="1830318130">
      <w:bodyDiv w:val="1"/>
      <w:marLeft w:val="0"/>
      <w:marRight w:val="0"/>
      <w:marTop w:val="0"/>
      <w:marBottom w:val="0"/>
      <w:divBdr>
        <w:top w:val="none" w:sz="0" w:space="0" w:color="auto"/>
        <w:left w:val="none" w:sz="0" w:space="0" w:color="auto"/>
        <w:bottom w:val="none" w:sz="0" w:space="0" w:color="auto"/>
        <w:right w:val="none" w:sz="0" w:space="0" w:color="auto"/>
      </w:divBdr>
    </w:div>
    <w:div w:id="1859733924">
      <w:bodyDiv w:val="1"/>
      <w:marLeft w:val="0"/>
      <w:marRight w:val="0"/>
      <w:marTop w:val="0"/>
      <w:marBottom w:val="0"/>
      <w:divBdr>
        <w:top w:val="none" w:sz="0" w:space="0" w:color="auto"/>
        <w:left w:val="none" w:sz="0" w:space="0" w:color="auto"/>
        <w:bottom w:val="none" w:sz="0" w:space="0" w:color="auto"/>
        <w:right w:val="none" w:sz="0" w:space="0" w:color="auto"/>
      </w:divBdr>
    </w:div>
    <w:div w:id="1974024147">
      <w:bodyDiv w:val="1"/>
      <w:marLeft w:val="0"/>
      <w:marRight w:val="0"/>
      <w:marTop w:val="0"/>
      <w:marBottom w:val="0"/>
      <w:divBdr>
        <w:top w:val="none" w:sz="0" w:space="0" w:color="auto"/>
        <w:left w:val="none" w:sz="0" w:space="0" w:color="auto"/>
        <w:bottom w:val="none" w:sz="0" w:space="0" w:color="auto"/>
        <w:right w:val="none" w:sz="0" w:space="0" w:color="auto"/>
      </w:divBdr>
    </w:div>
    <w:div w:id="198438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Users/benerci75/Documents/-23687722810442728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[1]Sayfa1!$V$1:$V$10</c:f>
              <c:strCache>
                <c:ptCount val="10"/>
                <c:pt idx="0">
                  <c:v>Kira</c:v>
                </c:pt>
                <c:pt idx="1">
                  <c:v>Ekmek ve tahıllar</c:v>
                </c:pt>
                <c:pt idx="2">
                  <c:v>Balık</c:v>
                </c:pt>
                <c:pt idx="3">
                  <c:v>Temel hastahane hizmetleri</c:v>
                </c:pt>
                <c:pt idx="4">
                  <c:v>Karayolu ile yolcu taşımacılığı</c:v>
                </c:pt>
                <c:pt idx="5">
                  <c:v>Katı ve sıvı yağlar</c:v>
                </c:pt>
                <c:pt idx="6">
                  <c:v>Süt, peynir ve yumurta</c:v>
                </c:pt>
                <c:pt idx="7">
                  <c:v>İlaçlar</c:v>
                </c:pt>
                <c:pt idx="8">
                  <c:v>Sebze</c:v>
                </c:pt>
                <c:pt idx="9">
                  <c:v>Et</c:v>
                </c:pt>
              </c:strCache>
            </c:strRef>
          </c:cat>
          <c:val>
            <c:numRef>
              <c:f>[1]Sayfa1!$W$1:$W$10</c:f>
              <c:numCache>
                <c:formatCode>0.00%</c:formatCode>
                <c:ptCount val="10"/>
                <c:pt idx="0">
                  <c:v>0.00870190731811593</c:v>
                </c:pt>
                <c:pt idx="1">
                  <c:v>0.0113052923834331</c:v>
                </c:pt>
                <c:pt idx="2">
                  <c:v>0.0117536668231913</c:v>
                </c:pt>
                <c:pt idx="3">
                  <c:v>0.0217806943268418</c:v>
                </c:pt>
                <c:pt idx="4">
                  <c:v>0.022750514991989</c:v>
                </c:pt>
                <c:pt idx="5">
                  <c:v>0.0378302201974184</c:v>
                </c:pt>
                <c:pt idx="6">
                  <c:v>0.0425477837730478</c:v>
                </c:pt>
                <c:pt idx="7">
                  <c:v>0.04467494437666</c:v>
                </c:pt>
                <c:pt idx="8">
                  <c:v>0.0481994475466318</c:v>
                </c:pt>
                <c:pt idx="9">
                  <c:v>0.0727172724348667</c:v>
                </c:pt>
              </c:numCache>
            </c:numRef>
          </c:val>
        </c:ser>
        <c:dLbls>
          <c:showLegendKey val="0"/>
          <c:showVal val="0"/>
          <c:showCatName val="0"/>
          <c:showSerName val="0"/>
          <c:showPercent val="0"/>
          <c:showBubbleSize val="0"/>
        </c:dLbls>
        <c:gapWidth val="219"/>
        <c:overlap val="-27"/>
        <c:axId val="-1889949216"/>
        <c:axId val="-1889946896"/>
      </c:barChart>
      <c:catAx>
        <c:axId val="-188994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89946896"/>
        <c:crosses val="autoZero"/>
        <c:auto val="1"/>
        <c:lblAlgn val="ctr"/>
        <c:lblOffset val="100"/>
        <c:noMultiLvlLbl val="0"/>
      </c:catAx>
      <c:valAx>
        <c:axId val="-18899468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89949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814BF-58C1-9644-8035-0C29E5DB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1439</Words>
  <Characters>8205</Characters>
  <Application>Microsoft Macintosh Word</Application>
  <DocSecurity>0</DocSecurity>
  <Lines>68</Lines>
  <Paragraphs>19</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dc:creator>
  <cp:lastModifiedBy>serkan öngel</cp:lastModifiedBy>
  <cp:revision>2</cp:revision>
  <cp:lastPrinted>2017-01-03T11:38:00Z</cp:lastPrinted>
  <dcterms:created xsi:type="dcterms:W3CDTF">2017-09-05T11:46:00Z</dcterms:created>
  <dcterms:modified xsi:type="dcterms:W3CDTF">2017-09-05T11:46:00Z</dcterms:modified>
</cp:coreProperties>
</file>