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7B360D" w:rsidRDefault="00B44F5B" w:rsidP="002503DE">
      <w:pPr>
        <w:jc w:val="center"/>
        <w:rPr>
          <w:rFonts w:asciiTheme="majorHAnsi" w:hAnsiTheme="majorHAnsi"/>
          <w:sz w:val="24"/>
          <w:szCs w:val="24"/>
          <w:lang w:eastAsia="tr-TR" w:bidi="ar-SA"/>
        </w:rPr>
      </w:pPr>
      <w:r w:rsidRPr="007B360D">
        <w:rPr>
          <w:rFonts w:asciiTheme="majorHAnsi" w:hAnsiTheme="majorHAnsi"/>
          <w:noProof/>
          <w:sz w:val="24"/>
          <w:szCs w:val="24"/>
          <w:lang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rPr>
                            </w:pPr>
                            <w:r w:rsidRPr="002F7F76">
                              <w:rPr>
                                <w:rFonts w:ascii="Arial" w:eastAsia="Times New Roman" w:hAnsi="Arial"/>
                                <w:b/>
                                <w:color w:val="000000"/>
                                <w:sz w:val="17"/>
                                <w:szCs w:val="17"/>
                              </w:rPr>
                              <w:t xml:space="preserve">Genel Merkez: </w:t>
                            </w:r>
                            <w:r w:rsidRPr="002F7F76">
                              <w:rPr>
                                <w:rFonts w:ascii="Arial" w:eastAsia="Times New Roman" w:hAnsi="Arial"/>
                                <w:color w:val="000000"/>
                                <w:sz w:val="17"/>
                                <w:szCs w:val="17"/>
                              </w:rPr>
                              <w:t xml:space="preserve">Bostancı Mah. </w:t>
                            </w:r>
                            <w:r w:rsidR="00D4428C">
                              <w:rPr>
                                <w:rFonts w:ascii="Arial" w:eastAsia="Times New Roman" w:hAnsi="Arial"/>
                                <w:color w:val="000000"/>
                                <w:sz w:val="17"/>
                                <w:szCs w:val="17"/>
                              </w:rPr>
                              <w:t xml:space="preserve">E80 </w:t>
                            </w:r>
                            <w:proofErr w:type="spellStart"/>
                            <w:r w:rsidRPr="002F7F76">
                              <w:rPr>
                                <w:rFonts w:ascii="Arial" w:eastAsia="Times New Roman" w:hAnsi="Arial"/>
                                <w:color w:val="000000"/>
                                <w:sz w:val="17"/>
                                <w:szCs w:val="17"/>
                              </w:rPr>
                              <w:t>Yanyol</w:t>
                            </w:r>
                            <w:proofErr w:type="spellEnd"/>
                            <w:r w:rsidRPr="002F7F76">
                              <w:rPr>
                                <w:rFonts w:ascii="Arial" w:eastAsia="Times New Roman" w:hAnsi="Arial"/>
                                <w:color w:val="000000"/>
                                <w:sz w:val="17"/>
                                <w:szCs w:val="17"/>
                              </w:rPr>
                              <w:t xml:space="preserve"> Cad. No. 2</w:t>
                            </w:r>
                            <w:r w:rsidR="00D4428C">
                              <w:rPr>
                                <w:rFonts w:ascii="Arial" w:eastAsia="Times New Roman" w:hAnsi="Arial"/>
                                <w:color w:val="000000"/>
                                <w:sz w:val="17"/>
                                <w:szCs w:val="17"/>
                              </w:rPr>
                              <w:t>,</w:t>
                            </w:r>
                            <w:r w:rsidRPr="002F7F76">
                              <w:rPr>
                                <w:rFonts w:ascii="Arial" w:eastAsia="Times New Roman" w:hAnsi="Arial"/>
                                <w:color w:val="000000"/>
                                <w:sz w:val="17"/>
                                <w:szCs w:val="17"/>
                              </w:rPr>
                              <w:t xml:space="preserve"> 34744 Kadıköy-İstanbul Tel: (216) 380 85</w:t>
                            </w:r>
                            <w:r w:rsidR="00D4428C">
                              <w:rPr>
                                <w:rFonts w:ascii="Arial" w:eastAsia="Times New Roman" w:hAnsi="Arial"/>
                                <w:color w:val="000000"/>
                                <w:sz w:val="17"/>
                                <w:szCs w:val="17"/>
                              </w:rPr>
                              <w:t xml:space="preserve"> </w:t>
                            </w:r>
                            <w:r w:rsidRPr="002F7F76">
                              <w:rPr>
                                <w:rFonts w:ascii="Arial" w:eastAsia="Times New Roman" w:hAnsi="Arial"/>
                                <w:color w:val="000000"/>
                                <w:sz w:val="17"/>
                                <w:szCs w:val="17"/>
                              </w:rPr>
                              <w:t xml:space="preserve">90 </w:t>
                            </w:r>
                            <w:proofErr w:type="spellStart"/>
                            <w:r w:rsidRPr="002F7F76">
                              <w:rPr>
                                <w:rFonts w:ascii="Arial" w:eastAsia="Times New Roman" w:hAnsi="Arial"/>
                                <w:color w:val="000000"/>
                                <w:sz w:val="17"/>
                                <w:szCs w:val="17"/>
                              </w:rPr>
                              <w:t>Fax</w:t>
                            </w:r>
                            <w:proofErr w:type="spellEnd"/>
                            <w:r w:rsidRPr="002F7F76">
                              <w:rPr>
                                <w:rFonts w:ascii="Arial" w:eastAsia="Times New Roman" w:hAnsi="Arial"/>
                                <w:color w:val="000000"/>
                                <w:sz w:val="17"/>
                                <w:szCs w:val="17"/>
                              </w:rPr>
                              <w:t xml:space="preserve">: (216) 373 </w:t>
                            </w:r>
                            <w:r>
                              <w:rPr>
                                <w:rFonts w:ascii="Arial" w:eastAsia="Times New Roman" w:hAnsi="Arial"/>
                                <w:color w:val="000000"/>
                                <w:sz w:val="17"/>
                                <w:szCs w:val="17"/>
                              </w:rPr>
                              <w:t>65</w:t>
                            </w:r>
                            <w:r w:rsidR="00D4428C">
                              <w:rPr>
                                <w:rFonts w:ascii="Arial" w:eastAsia="Times New Roman" w:hAnsi="Arial"/>
                                <w:color w:val="000000"/>
                                <w:sz w:val="17"/>
                                <w:szCs w:val="17"/>
                              </w:rPr>
                              <w:t xml:space="preserve"> </w:t>
                            </w:r>
                            <w:r w:rsidRPr="002F7F76">
                              <w:rPr>
                                <w:rFonts w:ascii="Arial" w:eastAsia="Times New Roman" w:hAnsi="Arial"/>
                                <w:color w:val="000000"/>
                                <w:sz w:val="17"/>
                                <w:szCs w:val="17"/>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rPr>
                      </w:pPr>
                      <w:r w:rsidRPr="002F7F76">
                        <w:rPr>
                          <w:rFonts w:ascii="Arial" w:eastAsia="Times New Roman" w:hAnsi="Arial"/>
                          <w:b/>
                          <w:color w:val="000000"/>
                          <w:sz w:val="17"/>
                          <w:szCs w:val="17"/>
                        </w:rPr>
                        <w:t xml:space="preserve">Genel Merkez: </w:t>
                      </w:r>
                      <w:r w:rsidRPr="002F7F76">
                        <w:rPr>
                          <w:rFonts w:ascii="Arial" w:eastAsia="Times New Roman" w:hAnsi="Arial"/>
                          <w:color w:val="000000"/>
                          <w:sz w:val="17"/>
                          <w:szCs w:val="17"/>
                        </w:rPr>
                        <w:t xml:space="preserve">Bostancı Mah. </w:t>
                      </w:r>
                      <w:r w:rsidR="00D4428C">
                        <w:rPr>
                          <w:rFonts w:ascii="Arial" w:eastAsia="Times New Roman" w:hAnsi="Arial"/>
                          <w:color w:val="000000"/>
                          <w:sz w:val="17"/>
                          <w:szCs w:val="17"/>
                        </w:rPr>
                        <w:t xml:space="preserve">E80 </w:t>
                      </w:r>
                      <w:proofErr w:type="spellStart"/>
                      <w:r w:rsidRPr="002F7F76">
                        <w:rPr>
                          <w:rFonts w:ascii="Arial" w:eastAsia="Times New Roman" w:hAnsi="Arial"/>
                          <w:color w:val="000000"/>
                          <w:sz w:val="17"/>
                          <w:szCs w:val="17"/>
                        </w:rPr>
                        <w:t>Yanyol</w:t>
                      </w:r>
                      <w:proofErr w:type="spellEnd"/>
                      <w:r w:rsidRPr="002F7F76">
                        <w:rPr>
                          <w:rFonts w:ascii="Arial" w:eastAsia="Times New Roman" w:hAnsi="Arial"/>
                          <w:color w:val="000000"/>
                          <w:sz w:val="17"/>
                          <w:szCs w:val="17"/>
                        </w:rPr>
                        <w:t xml:space="preserve"> Cad. No. 2</w:t>
                      </w:r>
                      <w:r w:rsidR="00D4428C">
                        <w:rPr>
                          <w:rFonts w:ascii="Arial" w:eastAsia="Times New Roman" w:hAnsi="Arial"/>
                          <w:color w:val="000000"/>
                          <w:sz w:val="17"/>
                          <w:szCs w:val="17"/>
                        </w:rPr>
                        <w:t>,</w:t>
                      </w:r>
                      <w:r w:rsidRPr="002F7F76">
                        <w:rPr>
                          <w:rFonts w:ascii="Arial" w:eastAsia="Times New Roman" w:hAnsi="Arial"/>
                          <w:color w:val="000000"/>
                          <w:sz w:val="17"/>
                          <w:szCs w:val="17"/>
                        </w:rPr>
                        <w:t xml:space="preserve"> 34744 Kadıköy-İstanbul Tel: (216) 380 85</w:t>
                      </w:r>
                      <w:r w:rsidR="00D4428C">
                        <w:rPr>
                          <w:rFonts w:ascii="Arial" w:eastAsia="Times New Roman" w:hAnsi="Arial"/>
                          <w:color w:val="000000"/>
                          <w:sz w:val="17"/>
                          <w:szCs w:val="17"/>
                        </w:rPr>
                        <w:t xml:space="preserve"> </w:t>
                      </w:r>
                      <w:r w:rsidRPr="002F7F76">
                        <w:rPr>
                          <w:rFonts w:ascii="Arial" w:eastAsia="Times New Roman" w:hAnsi="Arial"/>
                          <w:color w:val="000000"/>
                          <w:sz w:val="17"/>
                          <w:szCs w:val="17"/>
                        </w:rPr>
                        <w:t xml:space="preserve">90 </w:t>
                      </w:r>
                      <w:proofErr w:type="spellStart"/>
                      <w:r w:rsidRPr="002F7F76">
                        <w:rPr>
                          <w:rFonts w:ascii="Arial" w:eastAsia="Times New Roman" w:hAnsi="Arial"/>
                          <w:color w:val="000000"/>
                          <w:sz w:val="17"/>
                          <w:szCs w:val="17"/>
                        </w:rPr>
                        <w:t>Fax</w:t>
                      </w:r>
                      <w:proofErr w:type="spellEnd"/>
                      <w:r w:rsidRPr="002F7F76">
                        <w:rPr>
                          <w:rFonts w:ascii="Arial" w:eastAsia="Times New Roman" w:hAnsi="Arial"/>
                          <w:color w:val="000000"/>
                          <w:sz w:val="17"/>
                          <w:szCs w:val="17"/>
                        </w:rPr>
                        <w:t xml:space="preserve">: (216) 373 </w:t>
                      </w:r>
                      <w:r>
                        <w:rPr>
                          <w:rFonts w:ascii="Arial" w:eastAsia="Times New Roman" w:hAnsi="Arial"/>
                          <w:color w:val="000000"/>
                          <w:sz w:val="17"/>
                          <w:szCs w:val="17"/>
                        </w:rPr>
                        <w:t>65</w:t>
                      </w:r>
                      <w:r w:rsidR="00D4428C">
                        <w:rPr>
                          <w:rFonts w:ascii="Arial" w:eastAsia="Times New Roman" w:hAnsi="Arial"/>
                          <w:color w:val="000000"/>
                          <w:sz w:val="17"/>
                          <w:szCs w:val="17"/>
                        </w:rPr>
                        <w:t xml:space="preserve"> </w:t>
                      </w:r>
                      <w:r w:rsidRPr="002F7F76">
                        <w:rPr>
                          <w:rFonts w:ascii="Arial" w:eastAsia="Times New Roman" w:hAnsi="Arial"/>
                          <w:color w:val="000000"/>
                          <w:sz w:val="17"/>
                          <w:szCs w:val="17"/>
                        </w:rPr>
                        <w:t>02</w:t>
                      </w:r>
                    </w:p>
                  </w:txbxContent>
                </v:textbox>
                <w10:wrap anchory="page"/>
              </v:rect>
            </w:pict>
          </mc:Fallback>
        </mc:AlternateContent>
      </w:r>
      <w:r w:rsidR="00C002DD" w:rsidRPr="007B360D">
        <w:rPr>
          <w:rFonts w:asciiTheme="majorHAnsi" w:hAnsiTheme="majorHAnsi"/>
          <w:noProof/>
          <w:sz w:val="24"/>
          <w:szCs w:val="24"/>
          <w:lang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7B360D" w:rsidRDefault="002503DE" w:rsidP="002503DE">
      <w:pPr>
        <w:spacing w:after="20" w:line="240" w:lineRule="auto"/>
        <w:jc w:val="center"/>
        <w:rPr>
          <w:rFonts w:asciiTheme="majorHAnsi" w:hAnsiTheme="majorHAnsi"/>
          <w:sz w:val="24"/>
          <w:szCs w:val="24"/>
        </w:rPr>
      </w:pPr>
    </w:p>
    <w:p w:rsidR="002503DE" w:rsidRPr="007B360D"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Theme="majorHAnsi" w:hAnsiTheme="majorHAnsi"/>
          <w:b/>
          <w:sz w:val="24"/>
          <w:szCs w:val="24"/>
        </w:rPr>
      </w:pPr>
      <w:r w:rsidRPr="007B360D">
        <w:rPr>
          <w:rFonts w:asciiTheme="majorHAnsi" w:hAnsiTheme="majorHAnsi"/>
          <w:b/>
          <w:sz w:val="24"/>
          <w:szCs w:val="24"/>
        </w:rPr>
        <w:t>BASIN BÜLTENİ</w:t>
      </w:r>
    </w:p>
    <w:p w:rsidR="00953B9E" w:rsidRDefault="00EB33D4" w:rsidP="00953B9E">
      <w:pPr>
        <w:spacing w:before="120" w:after="40"/>
        <w:ind w:firstLine="567"/>
        <w:jc w:val="right"/>
        <w:rPr>
          <w:rFonts w:ascii="Times New Roman" w:hAnsi="Times New Roman"/>
          <w:b/>
          <w:sz w:val="20"/>
          <w:szCs w:val="20"/>
        </w:rPr>
      </w:pPr>
      <w:r w:rsidRPr="007B360D">
        <w:rPr>
          <w:rFonts w:asciiTheme="majorHAnsi" w:hAnsiTheme="majorHAnsi"/>
          <w:b/>
          <w:sz w:val="24"/>
          <w:szCs w:val="24"/>
        </w:rPr>
        <w:br/>
      </w:r>
      <w:r w:rsidR="006F2201">
        <w:rPr>
          <w:rFonts w:ascii="Times New Roman" w:hAnsi="Times New Roman"/>
          <w:b/>
          <w:sz w:val="20"/>
          <w:szCs w:val="20"/>
        </w:rPr>
        <w:t>03</w:t>
      </w:r>
      <w:r w:rsidR="00953B9E">
        <w:rPr>
          <w:rFonts w:ascii="Times New Roman" w:hAnsi="Times New Roman"/>
          <w:b/>
          <w:sz w:val="20"/>
          <w:szCs w:val="20"/>
        </w:rPr>
        <w:t>.</w:t>
      </w:r>
      <w:r w:rsidR="0062695E">
        <w:rPr>
          <w:rFonts w:ascii="Times New Roman" w:hAnsi="Times New Roman"/>
          <w:b/>
          <w:sz w:val="20"/>
          <w:szCs w:val="20"/>
        </w:rPr>
        <w:t>1</w:t>
      </w:r>
      <w:r w:rsidR="006F2201">
        <w:rPr>
          <w:rFonts w:ascii="Times New Roman" w:hAnsi="Times New Roman"/>
          <w:b/>
          <w:sz w:val="20"/>
          <w:szCs w:val="20"/>
        </w:rPr>
        <w:t>1</w:t>
      </w:r>
      <w:r w:rsidR="00953B9E">
        <w:rPr>
          <w:rFonts w:ascii="Times New Roman" w:hAnsi="Times New Roman"/>
          <w:b/>
          <w:sz w:val="20"/>
          <w:szCs w:val="20"/>
        </w:rPr>
        <w:t>.2017</w:t>
      </w:r>
    </w:p>
    <w:p w:rsidR="006F2201" w:rsidRPr="00D35EFD" w:rsidRDefault="006F2201" w:rsidP="006F2201">
      <w:pPr>
        <w:spacing w:after="0" w:line="240" w:lineRule="auto"/>
        <w:jc w:val="center"/>
        <w:outlineLvl w:val="0"/>
        <w:rPr>
          <w:rStyle w:val="apple-style-span"/>
          <w:rFonts w:ascii="Arial Narrow" w:hAnsi="Arial Narrow"/>
          <w:b/>
          <w:color w:val="000000"/>
          <w:sz w:val="28"/>
          <w:szCs w:val="28"/>
          <w:shd w:val="clear" w:color="auto" w:fill="FFFFFF"/>
        </w:rPr>
      </w:pPr>
      <w:r w:rsidRPr="00D35EFD">
        <w:rPr>
          <w:rStyle w:val="apple-style-span"/>
          <w:rFonts w:ascii="Arial Narrow" w:hAnsi="Arial Narrow"/>
          <w:b/>
          <w:color w:val="000000"/>
          <w:sz w:val="28"/>
          <w:szCs w:val="28"/>
          <w:shd w:val="clear" w:color="auto" w:fill="FFFFFF"/>
        </w:rPr>
        <w:t>Birleşik Metal-İş Sendikası Sınıf Araştırmaları Merkezi (BİSAM)</w:t>
      </w:r>
    </w:p>
    <w:p w:rsidR="006F2201" w:rsidRPr="00D35EFD" w:rsidRDefault="006F2201" w:rsidP="006F2201">
      <w:pPr>
        <w:spacing w:after="0" w:line="240" w:lineRule="auto"/>
        <w:jc w:val="center"/>
        <w:outlineLvl w:val="0"/>
        <w:rPr>
          <w:rStyle w:val="apple-style-span"/>
          <w:rFonts w:ascii="Arial Narrow" w:hAnsi="Arial Narrow"/>
          <w:b/>
          <w:color w:val="000000"/>
          <w:sz w:val="28"/>
          <w:szCs w:val="28"/>
          <w:shd w:val="clear" w:color="auto" w:fill="FFFFFF"/>
        </w:rPr>
      </w:pPr>
      <w:r w:rsidRPr="00D35EFD">
        <w:rPr>
          <w:rStyle w:val="apple-style-span"/>
          <w:rFonts w:ascii="Arial Narrow" w:hAnsi="Arial Narrow"/>
          <w:b/>
          <w:color w:val="000000"/>
          <w:sz w:val="28"/>
          <w:szCs w:val="28"/>
          <w:shd w:val="clear" w:color="auto" w:fill="FFFFFF"/>
        </w:rPr>
        <w:t>Enflasyon ve Hayat Pahalılığı Dönem Raporu (EKİM 2017)</w:t>
      </w:r>
    </w:p>
    <w:p w:rsidR="006F2201" w:rsidRDefault="006F2201" w:rsidP="006F2201">
      <w:pPr>
        <w:spacing w:after="0" w:line="240" w:lineRule="auto"/>
        <w:jc w:val="center"/>
        <w:outlineLvl w:val="0"/>
        <w:rPr>
          <w:rStyle w:val="apple-style-span"/>
          <w:rFonts w:ascii="Arial Narrow" w:hAnsi="Arial Narrow"/>
          <w:b/>
          <w:color w:val="000000"/>
          <w:sz w:val="28"/>
          <w:szCs w:val="28"/>
          <w:shd w:val="clear" w:color="auto" w:fill="FFFFFF"/>
        </w:rPr>
      </w:pPr>
      <w:proofErr w:type="gramStart"/>
      <w:r w:rsidRPr="00D35EFD">
        <w:rPr>
          <w:rStyle w:val="apple-style-span"/>
          <w:rFonts w:ascii="Arial Narrow" w:hAnsi="Arial Narrow"/>
          <w:b/>
          <w:color w:val="000000"/>
          <w:sz w:val="28"/>
          <w:szCs w:val="28"/>
          <w:shd w:val="clear" w:color="auto" w:fill="FFFFFF"/>
        </w:rPr>
        <w:t>03/11/2017</w:t>
      </w:r>
      <w:proofErr w:type="gramEnd"/>
    </w:p>
    <w:p w:rsidR="00E341C0" w:rsidRPr="00D35EFD" w:rsidRDefault="00E341C0" w:rsidP="006F2201">
      <w:pPr>
        <w:spacing w:after="0" w:line="240" w:lineRule="auto"/>
        <w:jc w:val="center"/>
        <w:outlineLvl w:val="0"/>
        <w:rPr>
          <w:rStyle w:val="apple-style-span"/>
          <w:rFonts w:ascii="Arial Narrow" w:hAnsi="Arial Narrow"/>
          <w:b/>
          <w:color w:val="000000"/>
          <w:sz w:val="28"/>
          <w:szCs w:val="28"/>
          <w:shd w:val="clear" w:color="auto" w:fill="FFFFFF"/>
        </w:rPr>
      </w:pPr>
    </w:p>
    <w:p w:rsidR="006F2201" w:rsidRPr="006F2201" w:rsidRDefault="006F2201" w:rsidP="006F2201">
      <w:pPr>
        <w:spacing w:after="0" w:line="240" w:lineRule="auto"/>
        <w:jc w:val="center"/>
        <w:outlineLvl w:val="0"/>
        <w:rPr>
          <w:rStyle w:val="apple-style-span"/>
          <w:rFonts w:ascii="Arial Black" w:hAnsi="Arial Black"/>
          <w:b/>
          <w:color w:val="000000"/>
          <w:sz w:val="28"/>
          <w:szCs w:val="28"/>
          <w:shd w:val="clear" w:color="auto" w:fill="FFFFFF"/>
        </w:rPr>
      </w:pPr>
      <w:r w:rsidRPr="006F2201">
        <w:rPr>
          <w:rStyle w:val="apple-style-span"/>
          <w:rFonts w:ascii="Arial Black" w:hAnsi="Arial Black"/>
          <w:b/>
          <w:color w:val="000000"/>
          <w:sz w:val="28"/>
          <w:szCs w:val="28"/>
          <w:shd w:val="clear" w:color="auto" w:fill="FFFFFF"/>
        </w:rPr>
        <w:t>FİYATLAR ARTIYOR</w:t>
      </w:r>
    </w:p>
    <w:p w:rsidR="006F2201" w:rsidRPr="006F2201" w:rsidRDefault="006F2201" w:rsidP="006F2201">
      <w:pPr>
        <w:spacing w:after="0" w:line="240" w:lineRule="auto"/>
        <w:jc w:val="center"/>
        <w:outlineLvl w:val="0"/>
        <w:rPr>
          <w:rStyle w:val="apple-style-span"/>
          <w:rFonts w:ascii="Arial Black" w:hAnsi="Arial Black"/>
          <w:b/>
          <w:color w:val="000000"/>
          <w:sz w:val="28"/>
          <w:szCs w:val="28"/>
          <w:shd w:val="clear" w:color="auto" w:fill="FFFFFF"/>
        </w:rPr>
      </w:pPr>
      <w:r w:rsidRPr="006F2201">
        <w:rPr>
          <w:rStyle w:val="apple-style-span"/>
          <w:rFonts w:ascii="Arial Black" w:hAnsi="Arial Black"/>
          <w:b/>
          <w:color w:val="000000"/>
          <w:sz w:val="28"/>
          <w:szCs w:val="28"/>
          <w:shd w:val="clear" w:color="auto" w:fill="FFFFFF"/>
        </w:rPr>
        <w:t>ASGARİ ÜCRET ERİYOR!</w:t>
      </w:r>
    </w:p>
    <w:p w:rsidR="006F2201" w:rsidRPr="00E341C0" w:rsidRDefault="006F2201" w:rsidP="006F2201">
      <w:pPr>
        <w:spacing w:after="0" w:line="240" w:lineRule="auto"/>
        <w:jc w:val="center"/>
        <w:rPr>
          <w:rStyle w:val="apple-style-span"/>
          <w:b/>
          <w:color w:val="000000"/>
          <w:sz w:val="12"/>
          <w:szCs w:val="12"/>
          <w:shd w:val="clear" w:color="auto" w:fill="FFFFFF"/>
        </w:rPr>
      </w:pPr>
    </w:p>
    <w:p w:rsidR="006F2201" w:rsidRPr="00D35EFD" w:rsidRDefault="006F2201" w:rsidP="006F2201">
      <w:pPr>
        <w:pStyle w:val="ListeParagraf"/>
        <w:numPr>
          <w:ilvl w:val="0"/>
          <w:numId w:val="24"/>
        </w:numPr>
        <w:spacing w:after="0" w:line="240" w:lineRule="auto"/>
        <w:jc w:val="both"/>
        <w:outlineLvl w:val="0"/>
        <w:rPr>
          <w:rStyle w:val="apple-style-span"/>
          <w:rFonts w:ascii="Arial Narrow" w:hAnsi="Arial Narrow"/>
          <w:b/>
          <w:color w:val="000000"/>
          <w:sz w:val="24"/>
          <w:szCs w:val="24"/>
          <w:shd w:val="clear" w:color="auto" w:fill="FFFFFF"/>
        </w:rPr>
      </w:pPr>
      <w:r w:rsidRPr="00D35EFD">
        <w:rPr>
          <w:rStyle w:val="apple-style-span"/>
          <w:rFonts w:ascii="Arial Narrow" w:hAnsi="Arial Narrow"/>
          <w:b/>
          <w:color w:val="000000"/>
          <w:sz w:val="24"/>
          <w:szCs w:val="24"/>
          <w:shd w:val="clear" w:color="auto" w:fill="FFFFFF"/>
        </w:rPr>
        <w:t>ASGARİ ÜCRETLİ ENFLASYON KARŞISINDA YÜZDE 4 YOKSULLAŞTI</w:t>
      </w:r>
    </w:p>
    <w:p w:rsidR="006F2201" w:rsidRPr="00D35EFD" w:rsidRDefault="006F2201" w:rsidP="006F2201">
      <w:pPr>
        <w:pStyle w:val="ListeParagraf"/>
        <w:numPr>
          <w:ilvl w:val="0"/>
          <w:numId w:val="24"/>
        </w:numPr>
        <w:spacing w:after="0" w:line="240" w:lineRule="auto"/>
        <w:jc w:val="both"/>
        <w:rPr>
          <w:rStyle w:val="apple-style-span"/>
          <w:rFonts w:ascii="Arial Narrow" w:hAnsi="Arial Narrow"/>
          <w:b/>
          <w:color w:val="000000"/>
          <w:sz w:val="24"/>
          <w:szCs w:val="24"/>
          <w:shd w:val="clear" w:color="auto" w:fill="FFFFFF"/>
        </w:rPr>
      </w:pPr>
      <w:r w:rsidRPr="00D35EFD">
        <w:rPr>
          <w:rStyle w:val="apple-style-span"/>
          <w:rFonts w:ascii="Arial Narrow" w:hAnsi="Arial Narrow"/>
          <w:b/>
          <w:color w:val="000000"/>
          <w:sz w:val="24"/>
          <w:szCs w:val="24"/>
          <w:shd w:val="clear" w:color="auto" w:fill="FFFFFF"/>
        </w:rPr>
        <w:t>ASGARİ ÜCRETLİ ALIM GÜCÜNÜ EN ÇOK GAZİANTEP, ADIYAMAN, KİLİS İLE ZONGULDAK, KARABÜK, BARTIN BÖLGESİNDE KAYBETTİ</w:t>
      </w:r>
    </w:p>
    <w:p w:rsidR="006F2201" w:rsidRPr="006F2201" w:rsidRDefault="006F2201" w:rsidP="006F2201">
      <w:pPr>
        <w:spacing w:after="0" w:line="240" w:lineRule="auto"/>
        <w:jc w:val="center"/>
        <w:rPr>
          <w:rStyle w:val="apple-style-span"/>
          <w:color w:val="000000"/>
          <w:shd w:val="clear" w:color="auto" w:fill="FFFFFF"/>
        </w:rPr>
      </w:pPr>
    </w:p>
    <w:p w:rsidR="006F2201" w:rsidRPr="006F2201" w:rsidRDefault="006F2201" w:rsidP="00E341C0">
      <w:pPr>
        <w:spacing w:after="120"/>
        <w:jc w:val="both"/>
        <w:rPr>
          <w:rStyle w:val="apple-style-span"/>
          <w:color w:val="000000"/>
          <w:shd w:val="clear" w:color="auto" w:fill="FFFFFF"/>
        </w:rPr>
      </w:pPr>
      <w:r w:rsidRPr="006F2201">
        <w:rPr>
          <w:rStyle w:val="apple-style-span"/>
          <w:color w:val="000000"/>
          <w:shd w:val="clear" w:color="auto" w:fill="FFFFFF"/>
        </w:rPr>
        <w:t>Birleşik Metal İş Sendikası Sınıf Araştırmaları</w:t>
      </w:r>
      <w:bookmarkStart w:id="0" w:name="_GoBack"/>
      <w:bookmarkEnd w:id="0"/>
      <w:r w:rsidRPr="006F2201">
        <w:rPr>
          <w:rStyle w:val="apple-style-span"/>
          <w:color w:val="000000"/>
          <w:shd w:val="clear" w:color="auto" w:fill="FFFFFF"/>
        </w:rPr>
        <w:t xml:space="preserve"> Merkezi (BİSAM) tarafından hazırlanan Enflasyon ve Hayat Pahalılığı Ekim 2017 Dönem Raporu’nun sonuçlarına göre asgari ücret geçtiğimiz yılın aynı dönemine göre yüzde </w:t>
      </w:r>
      <w:proofErr w:type="gramStart"/>
      <w:r w:rsidRPr="006F2201">
        <w:rPr>
          <w:rStyle w:val="apple-style-span"/>
          <w:color w:val="000000"/>
          <w:shd w:val="clear" w:color="auto" w:fill="FFFFFF"/>
        </w:rPr>
        <w:t>7.9</w:t>
      </w:r>
      <w:proofErr w:type="gramEnd"/>
      <w:r w:rsidRPr="006F2201">
        <w:rPr>
          <w:rStyle w:val="apple-style-span"/>
          <w:color w:val="000000"/>
          <w:shd w:val="clear" w:color="auto" w:fill="FFFFFF"/>
        </w:rPr>
        <w:t xml:space="preserve"> artış göstererek AGİ (Asgari Geçim İndirimi) dâhil 1404 TL seviyesinde buna karşın ekim ayı enflasyon oranı resmi olarak yüzde 11.9 olarak gerçekleşti. Asgari ücret geçtiğimiz yılın aynı ayına göre enflasyon karşısında alım gücünü yüzde </w:t>
      </w:r>
      <w:proofErr w:type="gramStart"/>
      <w:r w:rsidRPr="006F2201">
        <w:rPr>
          <w:rStyle w:val="apple-style-span"/>
          <w:color w:val="000000"/>
          <w:shd w:val="clear" w:color="auto" w:fill="FFFFFF"/>
        </w:rPr>
        <w:t>3.8</w:t>
      </w:r>
      <w:proofErr w:type="gramEnd"/>
      <w:r w:rsidRPr="006F2201">
        <w:rPr>
          <w:rStyle w:val="apple-style-span"/>
          <w:color w:val="000000"/>
          <w:shd w:val="clear" w:color="auto" w:fill="FFFFFF"/>
        </w:rPr>
        <w:t xml:space="preserve"> seviyesinde kaybetti. Aylık alım gücü kaybı ortalaması yılın ilk 10 </w:t>
      </w:r>
      <w:proofErr w:type="spellStart"/>
      <w:r w:rsidRPr="006F2201">
        <w:rPr>
          <w:rStyle w:val="apple-style-span"/>
          <w:color w:val="000000"/>
          <w:shd w:val="clear" w:color="auto" w:fill="FFFFFF"/>
        </w:rPr>
        <w:t>yı</w:t>
      </w:r>
      <w:proofErr w:type="spellEnd"/>
      <w:r w:rsidRPr="006F2201">
        <w:rPr>
          <w:rStyle w:val="apple-style-span"/>
          <w:color w:val="000000"/>
          <w:shd w:val="clear" w:color="auto" w:fill="FFFFFF"/>
        </w:rPr>
        <w:t xml:space="preserve"> için yüzde </w:t>
      </w:r>
      <w:proofErr w:type="gramStart"/>
      <w:r w:rsidRPr="006F2201">
        <w:rPr>
          <w:rStyle w:val="apple-style-span"/>
          <w:color w:val="000000"/>
          <w:shd w:val="clear" w:color="auto" w:fill="FFFFFF"/>
        </w:rPr>
        <w:t>2.9</w:t>
      </w:r>
      <w:proofErr w:type="gramEnd"/>
      <w:r w:rsidRPr="006F2201">
        <w:rPr>
          <w:rStyle w:val="apple-style-span"/>
          <w:color w:val="000000"/>
          <w:shd w:val="clear" w:color="auto" w:fill="FFFFFF"/>
        </w:rPr>
        <w:t xml:space="preserve"> olarak gerçekleşti.</w:t>
      </w:r>
    </w:p>
    <w:p w:rsidR="006F2201" w:rsidRPr="006F2201" w:rsidRDefault="006F2201" w:rsidP="006F2201">
      <w:pPr>
        <w:spacing w:after="0" w:line="240" w:lineRule="auto"/>
        <w:jc w:val="both"/>
        <w:rPr>
          <w:rStyle w:val="apple-style-span"/>
          <w:color w:val="000000"/>
          <w:shd w:val="clear" w:color="auto" w:fill="FFFFFF"/>
        </w:rPr>
      </w:pPr>
    </w:p>
    <w:p w:rsidR="006F2201" w:rsidRPr="006F2201" w:rsidRDefault="006F2201" w:rsidP="006F2201">
      <w:pPr>
        <w:spacing w:after="0" w:line="240" w:lineRule="auto"/>
        <w:jc w:val="both"/>
        <w:outlineLvl w:val="0"/>
        <w:rPr>
          <w:rStyle w:val="apple-style-span"/>
          <w:b/>
          <w:color w:val="000000"/>
          <w:shd w:val="clear" w:color="auto" w:fill="FFFFFF"/>
        </w:rPr>
      </w:pPr>
      <w:r w:rsidRPr="006F2201">
        <w:rPr>
          <w:rStyle w:val="apple-style-span"/>
          <w:b/>
          <w:color w:val="000000"/>
          <w:shd w:val="clear" w:color="auto" w:fill="FFFFFF"/>
        </w:rPr>
        <w:t>Grafik - Seçilmiş Ürünlere Göre Asgari Ücrette Alım Gücü Kaybı</w:t>
      </w:r>
    </w:p>
    <w:p w:rsidR="006F2201" w:rsidRPr="006F2201" w:rsidRDefault="006F2201" w:rsidP="006F2201">
      <w:pPr>
        <w:spacing w:after="0" w:line="240" w:lineRule="auto"/>
        <w:jc w:val="both"/>
        <w:rPr>
          <w:rStyle w:val="apple-style-span"/>
          <w:color w:val="000000"/>
          <w:shd w:val="clear" w:color="auto" w:fill="FFFFFF"/>
        </w:rPr>
      </w:pPr>
      <w:r w:rsidRPr="006F2201">
        <w:rPr>
          <w:noProof/>
        </w:rPr>
        <w:drawing>
          <wp:inline distT="0" distB="0" distL="0" distR="0" wp14:anchorId="788F335E" wp14:editId="28B285AD">
            <wp:extent cx="6350635" cy="3633470"/>
            <wp:effectExtent l="0" t="0" r="24765" b="2413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F2201" w:rsidRPr="006F2201" w:rsidRDefault="006F2201" w:rsidP="006F2201">
      <w:pPr>
        <w:spacing w:after="0" w:line="240" w:lineRule="auto"/>
        <w:jc w:val="both"/>
        <w:rPr>
          <w:rStyle w:val="apple-style-span"/>
          <w:color w:val="000000"/>
          <w:sz w:val="20"/>
          <w:szCs w:val="20"/>
          <w:shd w:val="clear" w:color="auto" w:fill="FFFFFF"/>
        </w:rPr>
      </w:pPr>
      <w:r w:rsidRPr="006F2201">
        <w:rPr>
          <w:rStyle w:val="apple-style-span"/>
          <w:b/>
          <w:color w:val="000000"/>
          <w:sz w:val="20"/>
          <w:szCs w:val="20"/>
          <w:shd w:val="clear" w:color="auto" w:fill="FFFFFF"/>
        </w:rPr>
        <w:t>Kaynak:</w:t>
      </w:r>
      <w:r w:rsidRPr="006F2201">
        <w:rPr>
          <w:rStyle w:val="apple-style-span"/>
          <w:color w:val="000000"/>
          <w:sz w:val="20"/>
          <w:szCs w:val="20"/>
          <w:shd w:val="clear" w:color="auto" w:fill="FFFFFF"/>
        </w:rPr>
        <w:t xml:space="preserve"> TÜİK TÜFE Harcama Gruplarına Göre Endeks Sonuçları, Çalışma ve Sosyal Güvenlik Bakanlığı Asgari Ücret Verileri üzerinden tarafımızca hesaplanmıştır</w:t>
      </w:r>
    </w:p>
    <w:p w:rsidR="006F2201" w:rsidRPr="006F2201" w:rsidRDefault="006F2201" w:rsidP="006F2201">
      <w:pPr>
        <w:spacing w:after="0" w:line="240" w:lineRule="auto"/>
        <w:ind w:firstLine="708"/>
        <w:jc w:val="both"/>
        <w:rPr>
          <w:rStyle w:val="apple-style-span"/>
          <w:color w:val="000000"/>
          <w:shd w:val="clear" w:color="auto" w:fill="FFFFFF"/>
        </w:rPr>
      </w:pPr>
      <w:r w:rsidRPr="006F2201">
        <w:rPr>
          <w:rStyle w:val="apple-style-span"/>
          <w:color w:val="000000"/>
          <w:shd w:val="clear" w:color="auto" w:fill="FFFFFF"/>
        </w:rPr>
        <w:lastRenderedPageBreak/>
        <w:t xml:space="preserve">Asgari ücretli ürün grupları esas alındığında bir yıl öncesinin aynı ayına göre alım gücünü balıkta yüzde 15, ette yüzde </w:t>
      </w:r>
      <w:proofErr w:type="gramStart"/>
      <w:r w:rsidRPr="006F2201">
        <w:rPr>
          <w:rStyle w:val="apple-style-span"/>
          <w:color w:val="000000"/>
          <w:shd w:val="clear" w:color="auto" w:fill="FFFFFF"/>
        </w:rPr>
        <w:t>4.2</w:t>
      </w:r>
      <w:proofErr w:type="gramEnd"/>
      <w:r w:rsidRPr="006F2201">
        <w:rPr>
          <w:rStyle w:val="apple-style-span"/>
          <w:color w:val="000000"/>
          <w:shd w:val="clear" w:color="auto" w:fill="FFFFFF"/>
        </w:rPr>
        <w:t>, temel hastane hizmetlerinde yüzde 3.3, sebzede yüzde 12, katı ve sıvı yağlarda yüzde 5, gerçek kirada yüzde 1.3,</w:t>
      </w:r>
      <w:r>
        <w:rPr>
          <w:rStyle w:val="apple-style-span"/>
          <w:color w:val="000000"/>
          <w:shd w:val="clear" w:color="auto" w:fill="FFFFFF"/>
        </w:rPr>
        <w:t xml:space="preserve"> </w:t>
      </w:r>
      <w:r w:rsidRPr="006F2201">
        <w:rPr>
          <w:rStyle w:val="apple-style-span"/>
          <w:color w:val="000000"/>
          <w:shd w:val="clear" w:color="auto" w:fill="FFFFFF"/>
        </w:rPr>
        <w:t xml:space="preserve">süt, peynir ve yumurtada yüzde 8.6 kaybetti. Genelde kayıp yüzde </w:t>
      </w:r>
      <w:proofErr w:type="gramStart"/>
      <w:r w:rsidRPr="006F2201">
        <w:rPr>
          <w:rStyle w:val="apple-style-span"/>
          <w:color w:val="000000"/>
          <w:shd w:val="clear" w:color="auto" w:fill="FFFFFF"/>
        </w:rPr>
        <w:t>3.8</w:t>
      </w:r>
      <w:proofErr w:type="gramEnd"/>
      <w:r w:rsidRPr="006F2201">
        <w:rPr>
          <w:rStyle w:val="apple-style-span"/>
          <w:color w:val="000000"/>
          <w:shd w:val="clear" w:color="auto" w:fill="FFFFFF"/>
        </w:rPr>
        <w:t xml:space="preserve"> olarak gerçekleşti. </w:t>
      </w:r>
    </w:p>
    <w:p w:rsidR="006F2201" w:rsidRDefault="006F2201" w:rsidP="006F2201">
      <w:pPr>
        <w:spacing w:after="0" w:line="240" w:lineRule="auto"/>
        <w:ind w:firstLine="708"/>
        <w:jc w:val="both"/>
        <w:rPr>
          <w:rStyle w:val="apple-style-span"/>
          <w:color w:val="000000"/>
          <w:shd w:val="clear" w:color="auto" w:fill="FFFFFF"/>
        </w:rPr>
      </w:pPr>
      <w:r w:rsidRPr="006F2201">
        <w:rPr>
          <w:rStyle w:val="apple-style-span"/>
          <w:color w:val="000000"/>
          <w:shd w:val="clear" w:color="auto" w:fill="FFFFFF"/>
        </w:rPr>
        <w:t xml:space="preserve">Toplamda asgari ücretli enflasyon hesaplamasına </w:t>
      </w:r>
      <w:proofErr w:type="gramStart"/>
      <w:r w:rsidRPr="006F2201">
        <w:rPr>
          <w:rStyle w:val="apple-style-span"/>
          <w:color w:val="000000"/>
          <w:shd w:val="clear" w:color="auto" w:fill="FFFFFF"/>
        </w:rPr>
        <w:t>dahil</w:t>
      </w:r>
      <w:proofErr w:type="gramEnd"/>
      <w:r w:rsidRPr="006F2201">
        <w:rPr>
          <w:rStyle w:val="apple-style-span"/>
          <w:color w:val="000000"/>
          <w:shd w:val="clear" w:color="auto" w:fill="FFFFFF"/>
        </w:rPr>
        <w:t xml:space="preserve"> edilen ürünlerin yüzde 70’i için alım gücü kaybı yaşadı. 4 kodlu alt sınıf kapsamındaki 91 harcama grubunun yüzde 89’unun karşısında asgari ücretli alım gücünü kaybetti.</w:t>
      </w:r>
    </w:p>
    <w:p w:rsidR="006F2201" w:rsidRPr="006F2201" w:rsidRDefault="006F2201" w:rsidP="006F2201">
      <w:pPr>
        <w:spacing w:after="0" w:line="240" w:lineRule="auto"/>
        <w:ind w:firstLine="708"/>
        <w:jc w:val="both"/>
        <w:rPr>
          <w:rStyle w:val="apple-style-span"/>
          <w:color w:val="000000"/>
          <w:shd w:val="clear" w:color="auto" w:fill="FFFFFF"/>
        </w:rPr>
      </w:pPr>
    </w:p>
    <w:p w:rsidR="006F2201" w:rsidRPr="006F2201" w:rsidRDefault="006F2201" w:rsidP="006F2201">
      <w:pPr>
        <w:spacing w:after="120" w:line="240" w:lineRule="auto"/>
        <w:jc w:val="both"/>
        <w:outlineLvl w:val="0"/>
        <w:rPr>
          <w:rStyle w:val="apple-style-span"/>
          <w:b/>
          <w:color w:val="000000"/>
          <w:shd w:val="clear" w:color="auto" w:fill="FFFFFF"/>
        </w:rPr>
      </w:pPr>
      <w:r w:rsidRPr="006F2201">
        <w:rPr>
          <w:rStyle w:val="apple-style-span"/>
          <w:b/>
          <w:color w:val="000000"/>
          <w:shd w:val="clear" w:color="auto" w:fill="FFFFFF"/>
        </w:rPr>
        <w:t>Tablo- Bölgelere göre asgari ücretlinin alım gücü kaybı (yoksullaşma oranı)</w:t>
      </w:r>
    </w:p>
    <w:tbl>
      <w:tblPr>
        <w:tblW w:w="6780" w:type="dxa"/>
        <w:tblCellMar>
          <w:left w:w="70" w:type="dxa"/>
          <w:right w:w="70" w:type="dxa"/>
        </w:tblCellMar>
        <w:tblLook w:val="04A0" w:firstRow="1" w:lastRow="0" w:firstColumn="1" w:lastColumn="0" w:noHBand="0" w:noVBand="1"/>
      </w:tblPr>
      <w:tblGrid>
        <w:gridCol w:w="4740"/>
        <w:gridCol w:w="2040"/>
      </w:tblGrid>
      <w:tr w:rsidR="006F2201" w:rsidRPr="006F2201" w:rsidTr="00885D00">
        <w:trPr>
          <w:trHeight w:val="440"/>
        </w:trPr>
        <w:tc>
          <w:tcPr>
            <w:tcW w:w="4740" w:type="dxa"/>
            <w:tcBorders>
              <w:top w:val="nil"/>
              <w:left w:val="nil"/>
              <w:bottom w:val="single" w:sz="12" w:space="0" w:color="FFFFFF"/>
              <w:right w:val="single" w:sz="4" w:space="0" w:color="FFFFFF"/>
            </w:tcBorders>
            <w:shd w:val="clear" w:color="4F81BD" w:fill="4F81BD"/>
            <w:noWrap/>
            <w:vAlign w:val="bottom"/>
            <w:hideMark/>
          </w:tcPr>
          <w:p w:rsidR="006F2201" w:rsidRPr="006F2201" w:rsidRDefault="006F2201" w:rsidP="00885D00">
            <w:pPr>
              <w:spacing w:after="0" w:line="240" w:lineRule="auto"/>
              <w:rPr>
                <w:rFonts w:eastAsia="Times New Roman" w:cs="Arial"/>
                <w:b/>
                <w:bCs/>
              </w:rPr>
            </w:pPr>
            <w:r w:rsidRPr="006F2201">
              <w:rPr>
                <w:rFonts w:eastAsia="Times New Roman" w:cs="Arial"/>
                <w:b/>
                <w:bCs/>
              </w:rPr>
              <w:t>Bölge</w:t>
            </w:r>
          </w:p>
        </w:tc>
        <w:tc>
          <w:tcPr>
            <w:tcW w:w="2040" w:type="dxa"/>
            <w:tcBorders>
              <w:top w:val="nil"/>
              <w:left w:val="single" w:sz="4" w:space="0" w:color="FFFFFF"/>
              <w:bottom w:val="single" w:sz="12" w:space="0" w:color="FFFFFF"/>
              <w:right w:val="nil"/>
            </w:tcBorders>
            <w:shd w:val="clear" w:color="4F81BD" w:fill="4F81BD"/>
            <w:noWrap/>
            <w:vAlign w:val="bottom"/>
            <w:hideMark/>
          </w:tcPr>
          <w:p w:rsidR="006F2201" w:rsidRPr="006F2201" w:rsidRDefault="006F2201" w:rsidP="00885D00">
            <w:pPr>
              <w:spacing w:after="0" w:line="240" w:lineRule="auto"/>
              <w:rPr>
                <w:rFonts w:eastAsia="Times New Roman" w:cs="Arial"/>
                <w:b/>
                <w:bCs/>
              </w:rPr>
            </w:pPr>
            <w:r w:rsidRPr="006F2201">
              <w:rPr>
                <w:rFonts w:eastAsia="Times New Roman" w:cs="Arial"/>
                <w:b/>
                <w:bCs/>
              </w:rPr>
              <w:t>Yoksullaşma oranı</w:t>
            </w:r>
          </w:p>
        </w:tc>
      </w:tr>
      <w:tr w:rsidR="006F2201" w:rsidRPr="006F2201" w:rsidTr="00885D00">
        <w:trPr>
          <w:trHeight w:val="375"/>
        </w:trPr>
        <w:tc>
          <w:tcPr>
            <w:tcW w:w="4740" w:type="dxa"/>
            <w:tcBorders>
              <w:top w:val="single" w:sz="4" w:space="0" w:color="auto"/>
              <w:left w:val="nil"/>
              <w:bottom w:val="single" w:sz="4" w:space="0" w:color="FFFFFF"/>
              <w:right w:val="single" w:sz="4" w:space="0" w:color="FFFFFF"/>
            </w:tcBorders>
            <w:shd w:val="clear" w:color="B8CCE4" w:fill="B8CCE4"/>
            <w:vAlign w:val="bottom"/>
            <w:hideMark/>
          </w:tcPr>
          <w:p w:rsidR="006F2201" w:rsidRPr="006F2201" w:rsidRDefault="006F2201" w:rsidP="00885D00">
            <w:pPr>
              <w:spacing w:after="0" w:line="240" w:lineRule="auto"/>
              <w:rPr>
                <w:rFonts w:eastAsia="Times New Roman" w:cs="Arial"/>
                <w:b/>
                <w:bCs/>
              </w:rPr>
            </w:pPr>
            <w:r w:rsidRPr="006F2201">
              <w:rPr>
                <w:rFonts w:eastAsia="Times New Roman" w:cs="Arial"/>
                <w:b/>
                <w:bCs/>
              </w:rPr>
              <w:t>Türkiye-</w:t>
            </w:r>
            <w:proofErr w:type="spellStart"/>
            <w:r w:rsidRPr="006F2201">
              <w:rPr>
                <w:rFonts w:eastAsia="Times New Roman" w:cs="Arial"/>
              </w:rPr>
              <w:t>Turkey</w:t>
            </w:r>
            <w:proofErr w:type="spellEnd"/>
          </w:p>
        </w:tc>
        <w:tc>
          <w:tcPr>
            <w:tcW w:w="2040" w:type="dxa"/>
            <w:tcBorders>
              <w:top w:val="single" w:sz="4" w:space="0" w:color="FFFFFF"/>
              <w:left w:val="single" w:sz="4" w:space="0" w:color="FFFFFF"/>
              <w:bottom w:val="single" w:sz="4" w:space="0" w:color="FFFFFF"/>
              <w:right w:val="nil"/>
            </w:tcBorders>
            <w:shd w:val="clear" w:color="B8CCE4" w:fill="B8CCE4"/>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3,8%</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TR10 (İstanbul)</w:t>
            </w:r>
          </w:p>
        </w:tc>
        <w:tc>
          <w:tcPr>
            <w:tcW w:w="2040" w:type="dxa"/>
            <w:tcBorders>
              <w:top w:val="single" w:sz="4" w:space="0" w:color="FFFFFF"/>
              <w:left w:val="single" w:sz="4" w:space="0" w:color="FFFFFF"/>
              <w:bottom w:val="single" w:sz="4" w:space="0" w:color="FFFFFF"/>
              <w:right w:val="nil"/>
            </w:tcBorders>
            <w:shd w:val="clear" w:color="DCE6F1" w:fill="DCE6F1"/>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3,6%</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B8CCE4" w:fill="B8CCE4"/>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TR21 (Tekirdağ, Edirne, Kırklareli)</w:t>
            </w:r>
          </w:p>
        </w:tc>
        <w:tc>
          <w:tcPr>
            <w:tcW w:w="2040" w:type="dxa"/>
            <w:tcBorders>
              <w:top w:val="single" w:sz="4" w:space="0" w:color="FFFFFF"/>
              <w:left w:val="single" w:sz="4" w:space="0" w:color="FFFFFF"/>
              <w:bottom w:val="single" w:sz="4" w:space="0" w:color="FFFFFF"/>
              <w:right w:val="nil"/>
            </w:tcBorders>
            <w:shd w:val="clear" w:color="B8CCE4" w:fill="B8CCE4"/>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3,4%</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TR22 (Balıkesir, Çanakkale)</w:t>
            </w:r>
          </w:p>
        </w:tc>
        <w:tc>
          <w:tcPr>
            <w:tcW w:w="2040" w:type="dxa"/>
            <w:tcBorders>
              <w:top w:val="single" w:sz="4" w:space="0" w:color="FFFFFF"/>
              <w:left w:val="single" w:sz="4" w:space="0" w:color="FFFFFF"/>
              <w:bottom w:val="single" w:sz="4" w:space="0" w:color="FFFFFF"/>
              <w:right w:val="nil"/>
            </w:tcBorders>
            <w:shd w:val="clear" w:color="DCE6F1" w:fill="DCE6F1"/>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4,1%</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B8CCE4" w:fill="B8CCE4"/>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TR31 (İzmir)</w:t>
            </w:r>
          </w:p>
        </w:tc>
        <w:tc>
          <w:tcPr>
            <w:tcW w:w="2040" w:type="dxa"/>
            <w:tcBorders>
              <w:top w:val="single" w:sz="4" w:space="0" w:color="FFFFFF"/>
              <w:left w:val="single" w:sz="4" w:space="0" w:color="FFFFFF"/>
              <w:bottom w:val="single" w:sz="4" w:space="0" w:color="FFFFFF"/>
              <w:right w:val="nil"/>
            </w:tcBorders>
            <w:shd w:val="clear" w:color="B8CCE4" w:fill="B8CCE4"/>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4,8%</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TR32 (Aydın, Denizli, Muğla)</w:t>
            </w:r>
          </w:p>
        </w:tc>
        <w:tc>
          <w:tcPr>
            <w:tcW w:w="2040" w:type="dxa"/>
            <w:tcBorders>
              <w:top w:val="single" w:sz="4" w:space="0" w:color="FFFFFF"/>
              <w:left w:val="single" w:sz="4" w:space="0" w:color="FFFFFF"/>
              <w:bottom w:val="single" w:sz="4" w:space="0" w:color="FFFFFF"/>
              <w:right w:val="nil"/>
            </w:tcBorders>
            <w:shd w:val="clear" w:color="DCE6F1" w:fill="DCE6F1"/>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4,1%</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B8CCE4" w:fill="B8CCE4"/>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TR33 (Manisa, Afyonkarahisar, Kütahya, Uşak)</w:t>
            </w:r>
          </w:p>
        </w:tc>
        <w:tc>
          <w:tcPr>
            <w:tcW w:w="2040" w:type="dxa"/>
            <w:tcBorders>
              <w:top w:val="single" w:sz="4" w:space="0" w:color="FFFFFF"/>
              <w:left w:val="single" w:sz="4" w:space="0" w:color="FFFFFF"/>
              <w:bottom w:val="single" w:sz="4" w:space="0" w:color="FFFFFF"/>
              <w:right w:val="nil"/>
            </w:tcBorders>
            <w:shd w:val="clear" w:color="B8CCE4" w:fill="B8CCE4"/>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3,6%</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TR41 (Bursa, Eskişehir, Bilecik)</w:t>
            </w:r>
          </w:p>
        </w:tc>
        <w:tc>
          <w:tcPr>
            <w:tcW w:w="2040" w:type="dxa"/>
            <w:tcBorders>
              <w:top w:val="single" w:sz="4" w:space="0" w:color="FFFFFF"/>
              <w:left w:val="single" w:sz="4" w:space="0" w:color="FFFFFF"/>
              <w:bottom w:val="single" w:sz="4" w:space="0" w:color="FFFFFF"/>
              <w:right w:val="nil"/>
            </w:tcBorders>
            <w:shd w:val="clear" w:color="DCE6F1" w:fill="DCE6F1"/>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3,5%</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B8CCE4" w:fill="B8CCE4"/>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TR42 (Kocaeli, Sakarya, Düzce, Bolu, Yalova)</w:t>
            </w:r>
          </w:p>
        </w:tc>
        <w:tc>
          <w:tcPr>
            <w:tcW w:w="2040" w:type="dxa"/>
            <w:tcBorders>
              <w:top w:val="single" w:sz="4" w:space="0" w:color="FFFFFF"/>
              <w:left w:val="single" w:sz="4" w:space="0" w:color="FFFFFF"/>
              <w:bottom w:val="single" w:sz="4" w:space="0" w:color="FFFFFF"/>
              <w:right w:val="nil"/>
            </w:tcBorders>
            <w:shd w:val="clear" w:color="B8CCE4" w:fill="B8CCE4"/>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4,1%</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TR51 (Ankara)</w:t>
            </w:r>
          </w:p>
        </w:tc>
        <w:tc>
          <w:tcPr>
            <w:tcW w:w="2040" w:type="dxa"/>
            <w:tcBorders>
              <w:top w:val="single" w:sz="4" w:space="0" w:color="FFFFFF"/>
              <w:left w:val="single" w:sz="4" w:space="0" w:color="FFFFFF"/>
              <w:bottom w:val="single" w:sz="4" w:space="0" w:color="FFFFFF"/>
              <w:right w:val="nil"/>
            </w:tcBorders>
            <w:shd w:val="clear" w:color="DCE6F1" w:fill="DCE6F1"/>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3,0%</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B8CCE4" w:fill="B8CCE4"/>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TR52 (Konya, Karaman)</w:t>
            </w:r>
          </w:p>
        </w:tc>
        <w:tc>
          <w:tcPr>
            <w:tcW w:w="2040" w:type="dxa"/>
            <w:tcBorders>
              <w:top w:val="single" w:sz="4" w:space="0" w:color="FFFFFF"/>
              <w:left w:val="single" w:sz="4" w:space="0" w:color="FFFFFF"/>
              <w:bottom w:val="single" w:sz="4" w:space="0" w:color="FFFFFF"/>
              <w:right w:val="nil"/>
            </w:tcBorders>
            <w:shd w:val="clear" w:color="B8CCE4" w:fill="B8CCE4"/>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4,8%</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TR61 (Antalya, Isparta, Burdur)</w:t>
            </w:r>
          </w:p>
        </w:tc>
        <w:tc>
          <w:tcPr>
            <w:tcW w:w="2040" w:type="dxa"/>
            <w:tcBorders>
              <w:top w:val="single" w:sz="4" w:space="0" w:color="FFFFFF"/>
              <w:left w:val="single" w:sz="4" w:space="0" w:color="FFFFFF"/>
              <w:bottom w:val="single" w:sz="4" w:space="0" w:color="FFFFFF"/>
              <w:right w:val="nil"/>
            </w:tcBorders>
            <w:shd w:val="clear" w:color="DCE6F1" w:fill="DCE6F1"/>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3,8%</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B8CCE4" w:fill="B8CCE4"/>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TR62 (Adana, Mersin)</w:t>
            </w:r>
          </w:p>
        </w:tc>
        <w:tc>
          <w:tcPr>
            <w:tcW w:w="2040" w:type="dxa"/>
            <w:tcBorders>
              <w:top w:val="single" w:sz="4" w:space="0" w:color="FFFFFF"/>
              <w:left w:val="single" w:sz="4" w:space="0" w:color="FFFFFF"/>
              <w:bottom w:val="single" w:sz="4" w:space="0" w:color="FFFFFF"/>
              <w:right w:val="nil"/>
            </w:tcBorders>
            <w:shd w:val="clear" w:color="B8CCE4" w:fill="B8CCE4"/>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4,0%</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TR63 (Hatay, Kahramanmaraş, Osmaniye)</w:t>
            </w:r>
          </w:p>
        </w:tc>
        <w:tc>
          <w:tcPr>
            <w:tcW w:w="2040" w:type="dxa"/>
            <w:tcBorders>
              <w:top w:val="single" w:sz="4" w:space="0" w:color="FFFFFF"/>
              <w:left w:val="single" w:sz="4" w:space="0" w:color="FFFFFF"/>
              <w:bottom w:val="single" w:sz="4" w:space="0" w:color="FFFFFF"/>
              <w:right w:val="nil"/>
            </w:tcBorders>
            <w:shd w:val="clear" w:color="DCE6F1" w:fill="DCE6F1"/>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4,7%</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B8CCE4" w:fill="B8CCE4"/>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TR71 (Kırıkkale, Aksaray, Niğde, Nevşehir, Kırşehir)</w:t>
            </w:r>
          </w:p>
        </w:tc>
        <w:tc>
          <w:tcPr>
            <w:tcW w:w="2040" w:type="dxa"/>
            <w:tcBorders>
              <w:top w:val="single" w:sz="4" w:space="0" w:color="FFFFFF"/>
              <w:left w:val="single" w:sz="4" w:space="0" w:color="FFFFFF"/>
              <w:bottom w:val="single" w:sz="4" w:space="0" w:color="FFFFFF"/>
              <w:right w:val="nil"/>
            </w:tcBorders>
            <w:shd w:val="clear" w:color="B8CCE4" w:fill="B8CCE4"/>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4,3%</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TR72 (Kayseri, Sivas, Yozgat)</w:t>
            </w:r>
          </w:p>
        </w:tc>
        <w:tc>
          <w:tcPr>
            <w:tcW w:w="2040" w:type="dxa"/>
            <w:tcBorders>
              <w:top w:val="single" w:sz="4" w:space="0" w:color="FFFFFF"/>
              <w:left w:val="single" w:sz="4" w:space="0" w:color="FFFFFF"/>
              <w:bottom w:val="single" w:sz="4" w:space="0" w:color="FFFFFF"/>
              <w:right w:val="nil"/>
            </w:tcBorders>
            <w:shd w:val="clear" w:color="DCE6F1" w:fill="DCE6F1"/>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4,1%</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B8CCE4" w:fill="B8CCE4"/>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TR81 (Zonguldak, Karabük, Bartın)</w:t>
            </w:r>
          </w:p>
        </w:tc>
        <w:tc>
          <w:tcPr>
            <w:tcW w:w="2040" w:type="dxa"/>
            <w:tcBorders>
              <w:top w:val="single" w:sz="4" w:space="0" w:color="FFFFFF"/>
              <w:left w:val="single" w:sz="4" w:space="0" w:color="FFFFFF"/>
              <w:bottom w:val="single" w:sz="4" w:space="0" w:color="FFFFFF"/>
              <w:right w:val="nil"/>
            </w:tcBorders>
            <w:shd w:val="clear" w:color="B8CCE4" w:fill="B8CCE4"/>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5,0%</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TR82 (Kastamonu, Çankırı, Sinop)</w:t>
            </w:r>
          </w:p>
        </w:tc>
        <w:tc>
          <w:tcPr>
            <w:tcW w:w="2040" w:type="dxa"/>
            <w:tcBorders>
              <w:top w:val="single" w:sz="4" w:space="0" w:color="FFFFFF"/>
              <w:left w:val="single" w:sz="4" w:space="0" w:color="FFFFFF"/>
              <w:bottom w:val="single" w:sz="4" w:space="0" w:color="FFFFFF"/>
              <w:right w:val="nil"/>
            </w:tcBorders>
            <w:shd w:val="clear" w:color="DCE6F1" w:fill="DCE6F1"/>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3,5%</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B8CCE4" w:fill="B8CCE4"/>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TR83 (Samsun, Tokat, Çorum, Amasya)</w:t>
            </w:r>
          </w:p>
        </w:tc>
        <w:tc>
          <w:tcPr>
            <w:tcW w:w="2040" w:type="dxa"/>
            <w:tcBorders>
              <w:top w:val="single" w:sz="4" w:space="0" w:color="FFFFFF"/>
              <w:left w:val="single" w:sz="4" w:space="0" w:color="FFFFFF"/>
              <w:bottom w:val="single" w:sz="4" w:space="0" w:color="FFFFFF"/>
              <w:right w:val="nil"/>
            </w:tcBorders>
            <w:shd w:val="clear" w:color="B8CCE4" w:fill="B8CCE4"/>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4,5%</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TR90 (Trabzon, Ordu, Giresun, Rize, Artvin, Gümüşhane)</w:t>
            </w:r>
          </w:p>
        </w:tc>
        <w:tc>
          <w:tcPr>
            <w:tcW w:w="2040" w:type="dxa"/>
            <w:tcBorders>
              <w:top w:val="single" w:sz="4" w:space="0" w:color="FFFFFF"/>
              <w:left w:val="single" w:sz="4" w:space="0" w:color="FFFFFF"/>
              <w:bottom w:val="single" w:sz="4" w:space="0" w:color="FFFFFF"/>
              <w:right w:val="nil"/>
            </w:tcBorders>
            <w:shd w:val="clear" w:color="DCE6F1" w:fill="DCE6F1"/>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4,1%</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B8CCE4" w:fill="B8CCE4"/>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TRA1 (Erzurum, Erzincan, Bayburt)</w:t>
            </w:r>
          </w:p>
        </w:tc>
        <w:tc>
          <w:tcPr>
            <w:tcW w:w="2040" w:type="dxa"/>
            <w:tcBorders>
              <w:top w:val="single" w:sz="4" w:space="0" w:color="FFFFFF"/>
              <w:left w:val="single" w:sz="4" w:space="0" w:color="FFFFFF"/>
              <w:bottom w:val="single" w:sz="4" w:space="0" w:color="FFFFFF"/>
              <w:right w:val="nil"/>
            </w:tcBorders>
            <w:shd w:val="clear" w:color="B8CCE4" w:fill="B8CCE4"/>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4,2%</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TRA2 (Ağrı, Kars, Iğdır, Ardahan)</w:t>
            </w:r>
          </w:p>
        </w:tc>
        <w:tc>
          <w:tcPr>
            <w:tcW w:w="2040" w:type="dxa"/>
            <w:tcBorders>
              <w:top w:val="single" w:sz="4" w:space="0" w:color="FFFFFF"/>
              <w:left w:val="single" w:sz="4" w:space="0" w:color="FFFFFF"/>
              <w:bottom w:val="single" w:sz="4" w:space="0" w:color="FFFFFF"/>
              <w:right w:val="nil"/>
            </w:tcBorders>
            <w:shd w:val="clear" w:color="DCE6F1" w:fill="DCE6F1"/>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3,9%</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B8CCE4" w:fill="B8CCE4"/>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TRB1 (Malatya, Elazığ, Bingöl, Tunceli)</w:t>
            </w:r>
          </w:p>
        </w:tc>
        <w:tc>
          <w:tcPr>
            <w:tcW w:w="2040" w:type="dxa"/>
            <w:tcBorders>
              <w:top w:val="single" w:sz="4" w:space="0" w:color="FFFFFF"/>
              <w:left w:val="single" w:sz="4" w:space="0" w:color="FFFFFF"/>
              <w:bottom w:val="single" w:sz="4" w:space="0" w:color="FFFFFF"/>
              <w:right w:val="nil"/>
            </w:tcBorders>
            <w:shd w:val="clear" w:color="B8CCE4" w:fill="B8CCE4"/>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4,4%</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xml:space="preserve">TRB2 (Van, Muş, Bitlis, </w:t>
            </w:r>
            <w:proofErr w:type="gramStart"/>
            <w:r w:rsidRPr="006F2201">
              <w:rPr>
                <w:rFonts w:eastAsia="Times New Roman" w:cs="Arial"/>
                <w:color w:val="000000"/>
              </w:rPr>
              <w:t>Hakkari</w:t>
            </w:r>
            <w:proofErr w:type="gramEnd"/>
            <w:r w:rsidRPr="006F2201">
              <w:rPr>
                <w:rFonts w:eastAsia="Times New Roman" w:cs="Arial"/>
                <w:color w:val="000000"/>
              </w:rPr>
              <w:t>)</w:t>
            </w:r>
          </w:p>
        </w:tc>
        <w:tc>
          <w:tcPr>
            <w:tcW w:w="2040" w:type="dxa"/>
            <w:tcBorders>
              <w:top w:val="single" w:sz="4" w:space="0" w:color="FFFFFF"/>
              <w:left w:val="single" w:sz="4" w:space="0" w:color="FFFFFF"/>
              <w:bottom w:val="single" w:sz="4" w:space="0" w:color="FFFFFF"/>
              <w:right w:val="nil"/>
            </w:tcBorders>
            <w:shd w:val="clear" w:color="DCE6F1" w:fill="DCE6F1"/>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4,9%</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B8CCE4" w:fill="B8CCE4"/>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TRC1 (Gaziantep, Adıyaman, Kilis)</w:t>
            </w:r>
          </w:p>
        </w:tc>
        <w:tc>
          <w:tcPr>
            <w:tcW w:w="2040" w:type="dxa"/>
            <w:tcBorders>
              <w:top w:val="single" w:sz="4" w:space="0" w:color="FFFFFF"/>
              <w:left w:val="single" w:sz="4" w:space="0" w:color="FFFFFF"/>
              <w:bottom w:val="single" w:sz="4" w:space="0" w:color="FFFFFF"/>
              <w:right w:val="nil"/>
            </w:tcBorders>
            <w:shd w:val="clear" w:color="B8CCE4" w:fill="B8CCE4"/>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5,0%</w:t>
            </w:r>
          </w:p>
        </w:tc>
      </w:tr>
      <w:tr w:rsidR="006F2201" w:rsidRPr="006F2201" w:rsidTr="00885D00">
        <w:trPr>
          <w:trHeight w:val="375"/>
        </w:trPr>
        <w:tc>
          <w:tcPr>
            <w:tcW w:w="4740" w:type="dxa"/>
            <w:tcBorders>
              <w:top w:val="single" w:sz="4" w:space="0" w:color="FFFFFF"/>
              <w:left w:val="nil"/>
              <w:bottom w:val="single" w:sz="4" w:space="0" w:color="FFFFFF"/>
              <w:right w:val="single" w:sz="4" w:space="0" w:color="FFFFFF"/>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TRC2 (Şanlıurfa, Diyarbakır)</w:t>
            </w:r>
          </w:p>
        </w:tc>
        <w:tc>
          <w:tcPr>
            <w:tcW w:w="2040" w:type="dxa"/>
            <w:tcBorders>
              <w:top w:val="single" w:sz="4" w:space="0" w:color="FFFFFF"/>
              <w:left w:val="single" w:sz="4" w:space="0" w:color="FFFFFF"/>
              <w:bottom w:val="single" w:sz="4" w:space="0" w:color="FFFFFF"/>
              <w:right w:val="nil"/>
            </w:tcBorders>
            <w:shd w:val="clear" w:color="DCE6F1" w:fill="DCE6F1"/>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3,6%</w:t>
            </w:r>
          </w:p>
        </w:tc>
      </w:tr>
      <w:tr w:rsidR="006F2201" w:rsidRPr="006F2201" w:rsidTr="00885D00">
        <w:trPr>
          <w:trHeight w:val="375"/>
        </w:trPr>
        <w:tc>
          <w:tcPr>
            <w:tcW w:w="4740" w:type="dxa"/>
            <w:tcBorders>
              <w:top w:val="single" w:sz="4" w:space="0" w:color="FFFFFF"/>
              <w:left w:val="nil"/>
              <w:bottom w:val="single" w:sz="8" w:space="0" w:color="auto"/>
              <w:right w:val="single" w:sz="4" w:space="0" w:color="FFFFFF"/>
            </w:tcBorders>
            <w:shd w:val="clear" w:color="B8CCE4" w:fill="B8CCE4"/>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TRC3 (Mardin, Batman, Şırnak, Siirt)</w:t>
            </w:r>
          </w:p>
        </w:tc>
        <w:tc>
          <w:tcPr>
            <w:tcW w:w="2040" w:type="dxa"/>
            <w:tcBorders>
              <w:top w:val="single" w:sz="4" w:space="0" w:color="FFFFFF"/>
              <w:left w:val="single" w:sz="4" w:space="0" w:color="FFFFFF"/>
              <w:bottom w:val="nil"/>
              <w:right w:val="nil"/>
            </w:tcBorders>
            <w:shd w:val="clear" w:color="B8CCE4" w:fill="B8CCE4"/>
            <w:noWrap/>
            <w:vAlign w:val="bottom"/>
            <w:hideMark/>
          </w:tcPr>
          <w:p w:rsidR="006F2201" w:rsidRPr="006F2201" w:rsidRDefault="006F2201" w:rsidP="00885D00">
            <w:pPr>
              <w:spacing w:after="0" w:line="240" w:lineRule="auto"/>
              <w:jc w:val="right"/>
              <w:rPr>
                <w:rFonts w:eastAsia="Times New Roman" w:cs="Arial"/>
              </w:rPr>
            </w:pPr>
            <w:r w:rsidRPr="006F2201">
              <w:rPr>
                <w:rFonts w:eastAsia="Times New Roman" w:cs="Arial"/>
              </w:rPr>
              <w:t>3,3%</w:t>
            </w:r>
          </w:p>
        </w:tc>
      </w:tr>
    </w:tbl>
    <w:p w:rsidR="006F2201" w:rsidRPr="006F2201" w:rsidRDefault="006F2201" w:rsidP="006F2201">
      <w:pPr>
        <w:spacing w:after="0" w:line="240" w:lineRule="auto"/>
        <w:jc w:val="both"/>
        <w:rPr>
          <w:rStyle w:val="apple-style-span"/>
          <w:color w:val="000000"/>
          <w:shd w:val="clear" w:color="auto" w:fill="FFFFFF"/>
        </w:rPr>
      </w:pPr>
    </w:p>
    <w:p w:rsidR="006F2201" w:rsidRPr="006F2201" w:rsidRDefault="006F2201" w:rsidP="006F2201">
      <w:pPr>
        <w:spacing w:after="0" w:line="240" w:lineRule="auto"/>
        <w:jc w:val="both"/>
        <w:rPr>
          <w:rStyle w:val="apple-style-span"/>
          <w:color w:val="000000"/>
          <w:sz w:val="20"/>
          <w:szCs w:val="20"/>
          <w:shd w:val="clear" w:color="auto" w:fill="FFFFFF"/>
        </w:rPr>
      </w:pPr>
      <w:r w:rsidRPr="006F2201">
        <w:rPr>
          <w:rStyle w:val="apple-style-span"/>
          <w:b/>
          <w:color w:val="000000"/>
          <w:sz w:val="20"/>
          <w:szCs w:val="20"/>
          <w:shd w:val="clear" w:color="auto" w:fill="FFFFFF"/>
        </w:rPr>
        <w:t xml:space="preserve">Kaynak: </w:t>
      </w:r>
      <w:r w:rsidRPr="006F2201">
        <w:rPr>
          <w:rStyle w:val="apple-style-span"/>
          <w:color w:val="000000"/>
          <w:sz w:val="20"/>
          <w:szCs w:val="20"/>
          <w:shd w:val="clear" w:color="auto" w:fill="FFFFFF"/>
        </w:rPr>
        <w:t>TÜİK Tüketici Fiyat Endeksi, İstatistiki bölgelere göre Tüketici Fiyat Endeksi ve değişim oranı (%) (2003=100) Endeks Sonuçları, Çalışma ve Sosyal Güvenlik Bakanlığı Asgari Ücret Verileri üzerinden tarafımızca hesaplanmıştır</w:t>
      </w:r>
    </w:p>
    <w:p w:rsidR="006F2201" w:rsidRDefault="006F2201" w:rsidP="006F2201">
      <w:pPr>
        <w:spacing w:after="0" w:line="240" w:lineRule="auto"/>
        <w:jc w:val="both"/>
        <w:rPr>
          <w:rStyle w:val="apple-style-span"/>
          <w:color w:val="000000"/>
          <w:shd w:val="clear" w:color="auto" w:fill="FFFFFF"/>
        </w:rPr>
      </w:pPr>
    </w:p>
    <w:p w:rsidR="006F2201" w:rsidRPr="006F2201" w:rsidRDefault="006F2201" w:rsidP="006F2201">
      <w:pPr>
        <w:spacing w:after="0" w:line="240" w:lineRule="auto"/>
        <w:ind w:firstLine="708"/>
        <w:jc w:val="both"/>
        <w:rPr>
          <w:rFonts w:eastAsia="Times New Roman" w:cs="Arial"/>
          <w:color w:val="000000"/>
        </w:rPr>
      </w:pPr>
      <w:r w:rsidRPr="006F2201">
        <w:rPr>
          <w:rStyle w:val="apple-style-span"/>
          <w:color w:val="000000"/>
          <w:shd w:val="clear" w:color="auto" w:fill="FFFFFF"/>
        </w:rPr>
        <w:t>Asgari ücretlilerde geçtiğimiz yılın aynı ayına göre alım gücü kaybı ise bölgelere göre yüzde 3 ila yüzde 5 oranında değişiklik gösterdi. Asgari ücretlinin en çok alım gücü kaybı yaşadığı bölge geçtiğimiz ay olduğu gibi yüzde 5 ile T</w:t>
      </w:r>
      <w:r w:rsidRPr="006F2201">
        <w:rPr>
          <w:rFonts w:eastAsia="Times New Roman"/>
          <w:color w:val="000000"/>
        </w:rPr>
        <w:t xml:space="preserve">RC1 (Gaziantep, Adıyaman, Kilis) ve TR81 (Zonguldak, Karabük, Bartın) bölgesi oldu. Bu </w:t>
      </w:r>
      <w:r w:rsidRPr="006F2201">
        <w:rPr>
          <w:rFonts w:eastAsia="Times New Roman"/>
          <w:color w:val="000000"/>
        </w:rPr>
        <w:lastRenderedPageBreak/>
        <w:t xml:space="preserve">bölgeleri yüzde </w:t>
      </w:r>
      <w:proofErr w:type="gramStart"/>
      <w:r w:rsidRPr="006F2201">
        <w:rPr>
          <w:rFonts w:eastAsia="Times New Roman"/>
          <w:color w:val="000000"/>
        </w:rPr>
        <w:t>4.9’luk</w:t>
      </w:r>
      <w:proofErr w:type="gramEnd"/>
      <w:r w:rsidRPr="006F2201">
        <w:rPr>
          <w:rFonts w:eastAsia="Times New Roman"/>
          <w:color w:val="000000"/>
        </w:rPr>
        <w:t xml:space="preserve"> kayıpla TRB2 (Van, Muş, Bitlis, Hakkari), yüzde 4.8 ile İzmir ve Konya-Karaman bölgesi takip etti. Ankara’da ise asgari ücretlilerin yaşadığı alım gücü kaybı ise yüzde 3 olarak gerçekleşti.</w:t>
      </w:r>
    </w:p>
    <w:p w:rsidR="006F2201" w:rsidRPr="006F2201" w:rsidRDefault="006F2201" w:rsidP="006F2201">
      <w:pPr>
        <w:spacing w:after="0" w:line="240" w:lineRule="auto"/>
        <w:jc w:val="both"/>
        <w:rPr>
          <w:rFonts w:eastAsia="Times New Roman" w:cs="Arial"/>
          <w:color w:val="000000"/>
        </w:rPr>
      </w:pPr>
      <w:r w:rsidRPr="006F2201">
        <w:rPr>
          <w:rFonts w:eastAsia="Times New Roman" w:cs="Arial"/>
          <w:color w:val="000000"/>
        </w:rPr>
        <w:t xml:space="preserve">Asgari ücrete geçtiğimiz yıl aralık ayında 2017 yılı için tek bir ücret artışı yapılmıştı. Ancak asgari ücretli, yüksek enflasyon oranları karşısında, her ay bir önceki yılın aynı dönemine göre alım gücü kaybı yaşamaya devam etti. Asgari ücret enflasyon karşısından </w:t>
      </w:r>
      <w:proofErr w:type="spellStart"/>
      <w:r w:rsidRPr="006F2201">
        <w:rPr>
          <w:rFonts w:eastAsia="Times New Roman" w:cs="Arial"/>
          <w:color w:val="000000"/>
        </w:rPr>
        <w:t>alımgücünü</w:t>
      </w:r>
      <w:proofErr w:type="spellEnd"/>
      <w:r w:rsidRPr="006F2201">
        <w:rPr>
          <w:rFonts w:eastAsia="Times New Roman" w:cs="Arial"/>
          <w:color w:val="000000"/>
        </w:rPr>
        <w:t xml:space="preserve"> aylık ortalama yüzde 2.94 oranında kaybetmemiş olsaydı, asgari ücretlinin 10 ayda eline 413 TL daha fazla geçmiş olacaktı. Bir başka ifade ile asgari ücretli geçtiğimiz yılın aynı dönemine (ocak-ekim) göre reel olarak 413 TL daha az gelir elde etti.</w:t>
      </w:r>
    </w:p>
    <w:p w:rsidR="006F2201" w:rsidRDefault="006F2201" w:rsidP="006F2201">
      <w:pPr>
        <w:spacing w:after="0" w:line="240" w:lineRule="auto"/>
        <w:jc w:val="both"/>
        <w:outlineLvl w:val="0"/>
        <w:rPr>
          <w:rStyle w:val="apple-style-span"/>
          <w:color w:val="000000"/>
          <w:shd w:val="clear" w:color="auto" w:fill="FFFFFF"/>
        </w:rPr>
      </w:pPr>
    </w:p>
    <w:p w:rsidR="006F2201" w:rsidRPr="006F2201" w:rsidRDefault="006F2201" w:rsidP="006F2201">
      <w:pPr>
        <w:spacing w:after="0" w:line="240" w:lineRule="auto"/>
        <w:ind w:firstLine="567"/>
        <w:jc w:val="both"/>
        <w:outlineLvl w:val="0"/>
        <w:rPr>
          <w:rStyle w:val="apple-style-span"/>
          <w:rFonts w:ascii="Arial Narrow" w:hAnsi="Arial Narrow"/>
          <w:b/>
          <w:color w:val="000000"/>
          <w:shd w:val="clear" w:color="auto" w:fill="FFFFFF"/>
        </w:rPr>
      </w:pPr>
      <w:r w:rsidRPr="006F2201">
        <w:rPr>
          <w:rStyle w:val="apple-style-span"/>
          <w:rFonts w:ascii="Arial Narrow" w:hAnsi="Arial Narrow"/>
          <w:b/>
          <w:color w:val="000000"/>
          <w:shd w:val="clear" w:color="auto" w:fill="FFFFFF"/>
        </w:rPr>
        <w:t>ENFLASYON HESAPLAMASI YOKSULLAŞMAYI GİZLEDİ</w:t>
      </w:r>
    </w:p>
    <w:p w:rsidR="006F2201" w:rsidRPr="006F2201" w:rsidRDefault="006F2201" w:rsidP="006F2201">
      <w:pPr>
        <w:spacing w:after="0" w:line="240" w:lineRule="auto"/>
        <w:ind w:firstLine="708"/>
        <w:jc w:val="both"/>
        <w:rPr>
          <w:rStyle w:val="apple-style-span"/>
          <w:color w:val="000000"/>
          <w:shd w:val="clear" w:color="auto" w:fill="FFFFFF"/>
        </w:rPr>
      </w:pPr>
      <w:r w:rsidRPr="006F2201">
        <w:rPr>
          <w:rStyle w:val="apple-style-span"/>
          <w:color w:val="000000"/>
          <w:shd w:val="clear" w:color="auto" w:fill="FFFFFF"/>
        </w:rPr>
        <w:t xml:space="preserve">BİSAM, TÜİK Tüketim Harcamaları İstatistikleri ve TÜİK Tüketici Fiyat Endeksi Harcama Gruplarına Göre Endeks Sonuçlarını kullanarak farklı gelir grupları için enflasyon hesaplaması yapıyor. </w:t>
      </w:r>
    </w:p>
    <w:p w:rsidR="006F2201" w:rsidRPr="006F2201" w:rsidRDefault="006F2201" w:rsidP="006F2201">
      <w:pPr>
        <w:spacing w:after="0" w:line="240" w:lineRule="auto"/>
        <w:ind w:firstLine="567"/>
        <w:jc w:val="both"/>
        <w:rPr>
          <w:rStyle w:val="apple-style-span"/>
          <w:color w:val="000000"/>
          <w:shd w:val="clear" w:color="auto" w:fill="FFFFFF"/>
        </w:rPr>
      </w:pPr>
      <w:r w:rsidRPr="006F2201">
        <w:rPr>
          <w:rStyle w:val="apple-style-span"/>
          <w:color w:val="000000"/>
          <w:shd w:val="clear" w:color="auto" w:fill="FFFFFF"/>
        </w:rPr>
        <w:t>Bu hesaplamaya göre enflasyon çeşitli gelir ve tüketim grupları için farklı sonuçlar yaratıyor. Buna göre;</w:t>
      </w:r>
    </w:p>
    <w:p w:rsidR="006F2201" w:rsidRPr="006F2201" w:rsidRDefault="006F2201" w:rsidP="006F2201">
      <w:pPr>
        <w:pStyle w:val="ListeParagraf"/>
        <w:numPr>
          <w:ilvl w:val="0"/>
          <w:numId w:val="23"/>
        </w:numPr>
        <w:tabs>
          <w:tab w:val="left" w:pos="851"/>
        </w:tabs>
        <w:spacing w:after="0" w:line="240" w:lineRule="auto"/>
        <w:ind w:left="567" w:hanging="11"/>
        <w:jc w:val="both"/>
        <w:rPr>
          <w:rStyle w:val="apple-style-span"/>
          <w:color w:val="000000"/>
          <w:shd w:val="clear" w:color="auto" w:fill="FFFFFF"/>
        </w:rPr>
      </w:pPr>
      <w:r w:rsidRPr="006F2201">
        <w:rPr>
          <w:rStyle w:val="apple-style-span"/>
          <w:color w:val="000000"/>
          <w:shd w:val="clear" w:color="auto" w:fill="FFFFFF"/>
        </w:rPr>
        <w:t xml:space="preserve">Ekim 2003-Ekim 2017 dönemleri arasında genel TÜFE yüzde 213 artış gösterirken bu oran düzenli ücretlilerde yüzde 232, </w:t>
      </w:r>
    </w:p>
    <w:p w:rsidR="006F2201" w:rsidRPr="006F2201" w:rsidRDefault="006F2201" w:rsidP="006F2201">
      <w:pPr>
        <w:pStyle w:val="ListeParagraf"/>
        <w:numPr>
          <w:ilvl w:val="0"/>
          <w:numId w:val="23"/>
        </w:numPr>
        <w:tabs>
          <w:tab w:val="left" w:pos="851"/>
        </w:tabs>
        <w:spacing w:after="0" w:line="240" w:lineRule="auto"/>
        <w:ind w:left="567" w:hanging="11"/>
        <w:jc w:val="both"/>
        <w:rPr>
          <w:rStyle w:val="apple-style-span"/>
          <w:color w:val="000000"/>
          <w:shd w:val="clear" w:color="auto" w:fill="FFFFFF"/>
        </w:rPr>
      </w:pPr>
      <w:r w:rsidRPr="006F2201">
        <w:rPr>
          <w:rStyle w:val="apple-style-span"/>
          <w:color w:val="000000"/>
          <w:shd w:val="clear" w:color="auto" w:fill="FFFFFF"/>
        </w:rPr>
        <w:t xml:space="preserve">Yevmiyeli çalışanlar için yüzde 245, </w:t>
      </w:r>
    </w:p>
    <w:p w:rsidR="006F2201" w:rsidRPr="006F2201" w:rsidRDefault="006F2201" w:rsidP="006F2201">
      <w:pPr>
        <w:pStyle w:val="ListeParagraf"/>
        <w:numPr>
          <w:ilvl w:val="0"/>
          <w:numId w:val="23"/>
        </w:numPr>
        <w:tabs>
          <w:tab w:val="left" w:pos="851"/>
        </w:tabs>
        <w:spacing w:after="0" w:line="240" w:lineRule="auto"/>
        <w:ind w:left="567" w:hanging="11"/>
        <w:jc w:val="both"/>
        <w:rPr>
          <w:rStyle w:val="apple-style-span"/>
          <w:color w:val="000000"/>
          <w:shd w:val="clear" w:color="auto" w:fill="FFFFFF"/>
        </w:rPr>
      </w:pPr>
      <w:r w:rsidRPr="006F2201">
        <w:rPr>
          <w:rStyle w:val="apple-style-span"/>
          <w:color w:val="000000"/>
          <w:shd w:val="clear" w:color="auto" w:fill="FFFFFF"/>
        </w:rPr>
        <w:t>Emekli aylığı ile geçinenlerde yüzde 237,</w:t>
      </w:r>
    </w:p>
    <w:p w:rsidR="006F2201" w:rsidRPr="006F2201" w:rsidRDefault="006F2201" w:rsidP="006F2201">
      <w:pPr>
        <w:pStyle w:val="ListeParagraf"/>
        <w:numPr>
          <w:ilvl w:val="0"/>
          <w:numId w:val="23"/>
        </w:numPr>
        <w:tabs>
          <w:tab w:val="left" w:pos="851"/>
        </w:tabs>
        <w:spacing w:after="0" w:line="240" w:lineRule="auto"/>
        <w:ind w:left="567" w:hanging="11"/>
        <w:jc w:val="both"/>
        <w:rPr>
          <w:rStyle w:val="apple-style-span"/>
          <w:color w:val="000000"/>
          <w:shd w:val="clear" w:color="auto" w:fill="FFFFFF"/>
        </w:rPr>
      </w:pPr>
      <w:r w:rsidRPr="006F2201">
        <w:rPr>
          <w:rStyle w:val="apple-style-span"/>
          <w:color w:val="000000"/>
          <w:shd w:val="clear" w:color="auto" w:fill="FFFFFF"/>
        </w:rPr>
        <w:t>Nüfusun en yoksul yüzde 20’lik kesiminde yüzde 241 oldu. En zengin yüzde 20’lik dilim için ise enflasyon yüzde 228 olarak gerçekleşti. Buna göre enflasyon hesaplaması yoksulu daha da yoksullaştırdı.</w:t>
      </w:r>
    </w:p>
    <w:p w:rsidR="006F2201" w:rsidRPr="006F2201" w:rsidRDefault="006F2201" w:rsidP="006F2201">
      <w:pPr>
        <w:spacing w:after="0" w:line="240" w:lineRule="auto"/>
        <w:ind w:firstLine="556"/>
        <w:jc w:val="both"/>
      </w:pPr>
      <w:r w:rsidRPr="006F2201">
        <w:rPr>
          <w:rStyle w:val="apple-style-span"/>
          <w:color w:val="000000"/>
          <w:shd w:val="clear" w:color="auto" w:fill="FFFFFF"/>
        </w:rPr>
        <w:t>BİSAM tarafından Ekim 2003-Ekim 2017 dönemlerine göre gizli yoksullaşma oranları da hesaplandı. Gizli yoksullaşma genel enflasyon rakamları ile farklı gelir gruplarının enflasyonlarının arasındaki farktan kaynaklanan ve kayıtlara yansımayan yoksullaşma düzeyini ortaya koyuyor.</w:t>
      </w:r>
    </w:p>
    <w:p w:rsidR="006F2201" w:rsidRPr="006F2201" w:rsidRDefault="006F2201" w:rsidP="006F2201">
      <w:pPr>
        <w:spacing w:after="0" w:line="240" w:lineRule="auto"/>
        <w:ind w:firstLine="556"/>
        <w:jc w:val="both"/>
      </w:pPr>
      <w:r w:rsidRPr="006F2201">
        <w:t>Buna göre son 14 yıllık dönemde (</w:t>
      </w:r>
      <w:r w:rsidRPr="006F2201">
        <w:rPr>
          <w:rStyle w:val="apple-style-span"/>
          <w:color w:val="000000"/>
          <w:shd w:val="clear" w:color="auto" w:fill="FFFFFF"/>
        </w:rPr>
        <w:t>Ekim 2003-Ekim 2017</w:t>
      </w:r>
      <w:r w:rsidRPr="006F2201">
        <w:t xml:space="preserve">) gizli yoksullaşmayı en yoğun olarak yaşayanlar, işteki duruma göre yüzde </w:t>
      </w:r>
      <w:proofErr w:type="gramStart"/>
      <w:r w:rsidRPr="006F2201">
        <w:t>10.3</w:t>
      </w:r>
      <w:proofErr w:type="gramEnd"/>
      <w:r w:rsidRPr="006F2201">
        <w:t xml:space="preserve"> ile “Yevmiyeliler”, mesleğe göre yüzde 8.9 ile “Nitelik gerektirmeyen işlerde çalışanlar”, temel gelir kaynağına göre yüzde 9.5 ile “Diğer Transferlerle Geçinenler” oldu. Enflasyon nedeniyle yaşanan gizli yoksullaşma, en yoksul yüzde 20 için yüzde </w:t>
      </w:r>
      <w:proofErr w:type="gramStart"/>
      <w:r w:rsidRPr="006F2201">
        <w:t>8.8</w:t>
      </w:r>
      <w:proofErr w:type="gramEnd"/>
      <w:r w:rsidRPr="006F2201">
        <w:t xml:space="preserve"> seviyesinde gerçekleşti. Buna karşın en zengin yüzde 20 için gizli yoksullaşma yüzde </w:t>
      </w:r>
      <w:proofErr w:type="gramStart"/>
      <w:r w:rsidRPr="006F2201">
        <w:t>4.7</w:t>
      </w:r>
      <w:proofErr w:type="gramEnd"/>
      <w:r w:rsidRPr="006F2201">
        <w:t xml:space="preserve"> oldu. </w:t>
      </w:r>
    </w:p>
    <w:p w:rsidR="006F2201" w:rsidRPr="006F2201" w:rsidRDefault="006F2201" w:rsidP="006F2201">
      <w:pPr>
        <w:spacing w:after="0" w:line="240" w:lineRule="auto"/>
        <w:ind w:firstLine="556"/>
        <w:jc w:val="both"/>
        <w:rPr>
          <w:rStyle w:val="apple-style-span"/>
          <w:color w:val="000000"/>
          <w:shd w:val="clear" w:color="auto" w:fill="FFFFFF"/>
        </w:rPr>
      </w:pPr>
      <w:r w:rsidRPr="006F2201">
        <w:rPr>
          <w:rStyle w:val="apple-style-span"/>
          <w:color w:val="000000"/>
          <w:shd w:val="clear" w:color="auto" w:fill="FFFFFF"/>
        </w:rPr>
        <w:t xml:space="preserve">Enflasyon toplumun her kesimini yaptıkları harcamalara göre farklı olarak yansıyor. Örneğin gıda fiyatlarındaki artış dar gelirliyi daha fazla etkiliyor. Nitekim farklı gelir gruplarına ve statüye sahip olan kesimler, fiyat atışlarını farklı düzeylerde hissediyor. Tüm gelir grupları için tek bir Tüketici Fiyat Endeksi açıklanıyor. Bunun bir sonucu olarak yaşadığımız enflasyon resmi enflasyon ile uyumsuzluk gösteriyor. </w:t>
      </w:r>
    </w:p>
    <w:p w:rsidR="006F2201" w:rsidRPr="006F2201" w:rsidRDefault="006F2201" w:rsidP="006F2201">
      <w:pPr>
        <w:spacing w:after="0" w:line="240" w:lineRule="auto"/>
        <w:ind w:firstLine="567"/>
        <w:jc w:val="both"/>
        <w:outlineLvl w:val="0"/>
        <w:rPr>
          <w:rStyle w:val="apple-style-span"/>
          <w:rFonts w:ascii="Arial Narrow" w:hAnsi="Arial Narrow"/>
          <w:b/>
          <w:color w:val="000000"/>
          <w:shd w:val="clear" w:color="auto" w:fill="FFFFFF"/>
        </w:rPr>
      </w:pPr>
      <w:r w:rsidRPr="006F2201">
        <w:rPr>
          <w:rStyle w:val="apple-style-span"/>
          <w:rFonts w:ascii="Arial Narrow" w:hAnsi="Arial Narrow"/>
          <w:b/>
          <w:color w:val="000000"/>
          <w:shd w:val="clear" w:color="auto" w:fill="FFFFFF"/>
        </w:rPr>
        <w:t>SONUÇ</w:t>
      </w:r>
    </w:p>
    <w:p w:rsidR="006F2201" w:rsidRPr="006F2201" w:rsidRDefault="006F2201" w:rsidP="006F2201">
      <w:pPr>
        <w:spacing w:after="0" w:line="240" w:lineRule="auto"/>
        <w:ind w:firstLine="567"/>
        <w:jc w:val="both"/>
        <w:rPr>
          <w:color w:val="000000"/>
          <w:shd w:val="clear" w:color="auto" w:fill="FFFFFF"/>
        </w:rPr>
      </w:pPr>
      <w:r w:rsidRPr="006F2201">
        <w:rPr>
          <w:rStyle w:val="apple-style-span"/>
          <w:color w:val="000000"/>
          <w:shd w:val="clear" w:color="auto" w:fill="FFFFFF"/>
        </w:rPr>
        <w:t>Enflasyondaki hareketler doğrudan doğruya alım gücüne etki eden bir role sahip. K</w:t>
      </w:r>
      <w:r w:rsidRPr="006F2201">
        <w:t>işinin kendi yaptığı harcama kalemlerindeki fiyat artışları (enflasyonu) ile resmi Tüketici Fiyat Endeksi arasındaki fark istatistiklere yansımayan bir yoksulluğa neden olmaktadır. Aynı zamanda sepete her yıl müdahaleye olanak tanıyan yöntem, sonuçların güvenilirliği açısından soru işaretlerine neden olmaktadır. Dar gelirli için ağırlığı son derece önemli olan kira ve gıdanın, sepetteki ağırlığının sistematik olarak azalması enflasyon verileri üzerinden yaşanan tartışmaları artırmaktadır. Ayrıca yüksek enflasyonlu günlere geri dönüş yaşandığı bu dönemde ücret kayıpları derhal giderilmelidir. Bu nedenle;</w:t>
      </w:r>
    </w:p>
    <w:p w:rsidR="006F2201" w:rsidRPr="006F2201" w:rsidRDefault="006F2201" w:rsidP="006F2201">
      <w:pPr>
        <w:pStyle w:val="NormalWeb"/>
        <w:numPr>
          <w:ilvl w:val="0"/>
          <w:numId w:val="15"/>
        </w:numPr>
        <w:spacing w:before="0" w:beforeAutospacing="0" w:after="0" w:afterAutospacing="0"/>
        <w:jc w:val="both"/>
        <w:rPr>
          <w:rFonts w:ascii="Cambria" w:hAnsi="Cambria"/>
          <w:color w:val="000000"/>
          <w:sz w:val="22"/>
          <w:szCs w:val="22"/>
          <w:shd w:val="clear" w:color="auto" w:fill="FFFFFF"/>
        </w:rPr>
      </w:pPr>
      <w:r w:rsidRPr="006F2201">
        <w:rPr>
          <w:rFonts w:ascii="Cambria" w:hAnsi="Cambria"/>
          <w:color w:val="000000"/>
          <w:sz w:val="22"/>
          <w:szCs w:val="22"/>
          <w:shd w:val="clear" w:color="auto" w:fill="FFFFFF"/>
        </w:rPr>
        <w:t>Ücret artışlarında dar gelirlileri dikkate alınacak ayrı bir endeks oluşturulmalıdır.</w:t>
      </w:r>
    </w:p>
    <w:p w:rsidR="006F2201" w:rsidRPr="006F2201" w:rsidRDefault="006F2201" w:rsidP="006F2201">
      <w:pPr>
        <w:pStyle w:val="NormalWeb"/>
        <w:numPr>
          <w:ilvl w:val="0"/>
          <w:numId w:val="15"/>
        </w:numPr>
        <w:spacing w:before="0" w:beforeAutospacing="0" w:after="0" w:afterAutospacing="0"/>
        <w:jc w:val="both"/>
        <w:rPr>
          <w:rFonts w:ascii="Cambria" w:hAnsi="Cambria"/>
          <w:color w:val="000000"/>
          <w:sz w:val="22"/>
          <w:szCs w:val="22"/>
          <w:shd w:val="clear" w:color="auto" w:fill="FFFFFF"/>
        </w:rPr>
      </w:pPr>
      <w:r w:rsidRPr="006F2201">
        <w:rPr>
          <w:rFonts w:ascii="Cambria" w:hAnsi="Cambria"/>
          <w:color w:val="000000"/>
          <w:sz w:val="22"/>
          <w:szCs w:val="22"/>
          <w:shd w:val="clear" w:color="auto" w:fill="FFFFFF"/>
        </w:rPr>
        <w:t xml:space="preserve">Toplum tarafından yaygın olarak kullanılmadığı halde, yüksek değer taşıdığı için enflasyonu önemi oranda etkileyen ürünlerin mal sepetindeki ağırlığı gözden geçirilmeli, teknolojik gelişmeye koşut olarak fiyatları sürekli olarak gerileyen ürünler, sepetten çıkartılmalıdır. </w:t>
      </w:r>
    </w:p>
    <w:p w:rsidR="006F2201" w:rsidRPr="006F2201" w:rsidRDefault="006F2201" w:rsidP="006F2201">
      <w:pPr>
        <w:pStyle w:val="NormalWeb"/>
        <w:numPr>
          <w:ilvl w:val="0"/>
          <w:numId w:val="15"/>
        </w:numPr>
        <w:spacing w:before="0" w:beforeAutospacing="0" w:after="0" w:afterAutospacing="0"/>
        <w:jc w:val="both"/>
        <w:rPr>
          <w:rFonts w:ascii="Cambria" w:hAnsi="Cambria"/>
          <w:color w:val="000000"/>
          <w:sz w:val="22"/>
          <w:szCs w:val="22"/>
          <w:shd w:val="clear" w:color="auto" w:fill="FFFFFF"/>
        </w:rPr>
      </w:pPr>
      <w:r w:rsidRPr="006F2201">
        <w:rPr>
          <w:rFonts w:ascii="Cambria" w:hAnsi="Cambria"/>
          <w:color w:val="000000"/>
          <w:sz w:val="22"/>
          <w:szCs w:val="22"/>
          <w:shd w:val="clear" w:color="auto" w:fill="FFFFFF"/>
        </w:rPr>
        <w:t xml:space="preserve">Her türlü sübjektif müdahaleye açık olan yıllık sepet değişiminden vaz geçilmeli. Sepetteki değişiklikler 3’er yıllık dönemler halinde gerçekleştirilmelidir. </w:t>
      </w:r>
    </w:p>
    <w:p w:rsidR="006F2201" w:rsidRPr="006F2201" w:rsidRDefault="006F2201" w:rsidP="006F2201">
      <w:pPr>
        <w:pStyle w:val="NormalWeb"/>
        <w:numPr>
          <w:ilvl w:val="0"/>
          <w:numId w:val="15"/>
        </w:numPr>
        <w:spacing w:before="0" w:beforeAutospacing="0" w:after="0" w:afterAutospacing="0"/>
        <w:jc w:val="both"/>
        <w:rPr>
          <w:rFonts w:ascii="Cambria" w:hAnsi="Cambria"/>
          <w:color w:val="000000"/>
          <w:sz w:val="22"/>
          <w:szCs w:val="22"/>
          <w:shd w:val="clear" w:color="auto" w:fill="FFFFFF"/>
        </w:rPr>
      </w:pPr>
      <w:r w:rsidRPr="006F2201">
        <w:rPr>
          <w:rFonts w:ascii="Cambria" w:hAnsi="Cambria"/>
          <w:color w:val="000000"/>
          <w:sz w:val="22"/>
          <w:szCs w:val="22"/>
          <w:shd w:val="clear" w:color="auto" w:fill="FFFFFF"/>
        </w:rPr>
        <w:t>İstatistik konseyinin kapsamı genişletilerek emek örgütlerinin katılımı ve denetimi sağlanmalıdır.</w:t>
      </w:r>
    </w:p>
    <w:p w:rsidR="006F2201" w:rsidRPr="006F2201" w:rsidRDefault="006F2201" w:rsidP="006F2201">
      <w:pPr>
        <w:pStyle w:val="NormalWeb"/>
        <w:numPr>
          <w:ilvl w:val="0"/>
          <w:numId w:val="15"/>
        </w:numPr>
        <w:spacing w:before="0" w:beforeAutospacing="0" w:after="0" w:afterAutospacing="0"/>
        <w:jc w:val="both"/>
        <w:rPr>
          <w:rFonts w:ascii="Cambria" w:hAnsi="Cambria"/>
          <w:color w:val="000000"/>
          <w:sz w:val="22"/>
          <w:szCs w:val="22"/>
          <w:shd w:val="clear" w:color="auto" w:fill="FFFFFF"/>
        </w:rPr>
      </w:pPr>
      <w:r w:rsidRPr="006F2201">
        <w:rPr>
          <w:rFonts w:ascii="Cambria" w:hAnsi="Cambria"/>
          <w:color w:val="000000"/>
          <w:sz w:val="22"/>
          <w:szCs w:val="22"/>
          <w:shd w:val="clear" w:color="auto" w:fill="FFFFFF"/>
        </w:rPr>
        <w:t xml:space="preserve">Hükümetin </w:t>
      </w:r>
      <w:proofErr w:type="spellStart"/>
      <w:r w:rsidRPr="006F2201">
        <w:rPr>
          <w:rFonts w:ascii="Cambria" w:hAnsi="Cambria"/>
          <w:color w:val="000000"/>
          <w:sz w:val="22"/>
          <w:szCs w:val="22"/>
          <w:shd w:val="clear" w:color="auto" w:fill="FFFFFF"/>
        </w:rPr>
        <w:t>TÜİK’e</w:t>
      </w:r>
      <w:proofErr w:type="spellEnd"/>
      <w:r w:rsidRPr="006F2201">
        <w:rPr>
          <w:rFonts w:ascii="Cambria" w:hAnsi="Cambria"/>
          <w:color w:val="000000"/>
          <w:sz w:val="22"/>
          <w:szCs w:val="22"/>
          <w:shd w:val="clear" w:color="auto" w:fill="FFFFFF"/>
        </w:rPr>
        <w:t xml:space="preserve"> müdahalesi anlamına gelecek yaklaşımlardan ve söylemlerden uzak durulmalıdır.</w:t>
      </w:r>
    </w:p>
    <w:p w:rsidR="006F2201" w:rsidRPr="006F2201" w:rsidRDefault="006F2201" w:rsidP="006F2201">
      <w:pPr>
        <w:pStyle w:val="NormalWeb"/>
        <w:numPr>
          <w:ilvl w:val="0"/>
          <w:numId w:val="15"/>
        </w:numPr>
        <w:spacing w:before="0" w:beforeAutospacing="0" w:after="0" w:afterAutospacing="0"/>
        <w:jc w:val="both"/>
        <w:rPr>
          <w:rFonts w:ascii="Cambria" w:hAnsi="Cambria"/>
          <w:color w:val="000000"/>
          <w:sz w:val="22"/>
          <w:szCs w:val="22"/>
          <w:shd w:val="clear" w:color="auto" w:fill="FFFFFF"/>
        </w:rPr>
      </w:pPr>
      <w:r w:rsidRPr="006F2201">
        <w:rPr>
          <w:rFonts w:ascii="Cambria" w:hAnsi="Cambria"/>
          <w:color w:val="000000"/>
          <w:sz w:val="22"/>
          <w:szCs w:val="22"/>
          <w:shd w:val="clear" w:color="auto" w:fill="FFFFFF"/>
        </w:rPr>
        <w:t>Enflasyon hesaplamasında araştırma kapsamında belirtilen unsurlardan kaynaklı olarak yaşanan gelir kayıpları giderilmelidir.</w:t>
      </w:r>
    </w:p>
    <w:p w:rsidR="006F2201" w:rsidRPr="006F2201" w:rsidRDefault="006F2201" w:rsidP="006F2201">
      <w:pPr>
        <w:pStyle w:val="NormalWeb"/>
        <w:numPr>
          <w:ilvl w:val="0"/>
          <w:numId w:val="15"/>
        </w:numPr>
        <w:spacing w:before="0" w:beforeAutospacing="0" w:after="0" w:afterAutospacing="0"/>
        <w:jc w:val="both"/>
        <w:rPr>
          <w:rStyle w:val="apple-style-span"/>
          <w:rFonts w:ascii="Cambria" w:eastAsia="Calibri" w:hAnsi="Cambria"/>
          <w:color w:val="000000"/>
          <w:sz w:val="22"/>
          <w:szCs w:val="22"/>
          <w:shd w:val="clear" w:color="auto" w:fill="FFFFFF"/>
        </w:rPr>
      </w:pPr>
      <w:r w:rsidRPr="006F2201">
        <w:rPr>
          <w:rFonts w:ascii="Cambria" w:hAnsi="Cambria"/>
          <w:color w:val="000000"/>
          <w:sz w:val="22"/>
          <w:szCs w:val="22"/>
          <w:shd w:val="clear" w:color="auto" w:fill="FFFFFF"/>
        </w:rPr>
        <w:t xml:space="preserve">Asgari ücrete yapılan artışın enflasyon verilerinin gerisinde kaldığı görülmektedir. </w:t>
      </w:r>
      <w:proofErr w:type="gramStart"/>
      <w:r w:rsidRPr="006F2201">
        <w:rPr>
          <w:rFonts w:ascii="Cambria" w:hAnsi="Cambria"/>
          <w:color w:val="000000"/>
          <w:sz w:val="22"/>
          <w:szCs w:val="22"/>
          <w:shd w:val="clear" w:color="auto" w:fill="FFFFFF"/>
        </w:rPr>
        <w:t>Yıl sonu</w:t>
      </w:r>
      <w:proofErr w:type="gramEnd"/>
      <w:r w:rsidRPr="006F2201">
        <w:rPr>
          <w:rFonts w:ascii="Cambria" w:hAnsi="Cambria"/>
          <w:color w:val="000000"/>
          <w:sz w:val="22"/>
          <w:szCs w:val="22"/>
          <w:shd w:val="clear" w:color="auto" w:fill="FFFFFF"/>
        </w:rPr>
        <w:t xml:space="preserve"> tahminleri de bu durumun süreceğini göstermektedir. Bu nedenle yaşanan kayıplar derhal giderilmelidir. </w:t>
      </w:r>
    </w:p>
    <w:p w:rsidR="006F2201" w:rsidRPr="006F2201" w:rsidRDefault="006F2201" w:rsidP="006F2201">
      <w:pPr>
        <w:spacing w:before="240" w:after="120" w:line="240" w:lineRule="auto"/>
        <w:ind w:firstLine="360"/>
        <w:jc w:val="both"/>
        <w:outlineLvl w:val="0"/>
        <w:rPr>
          <w:rStyle w:val="apple-style-span"/>
          <w:rFonts w:ascii="Arial Narrow" w:hAnsi="Arial Narrow"/>
          <w:b/>
          <w:color w:val="000000"/>
          <w:shd w:val="clear" w:color="auto" w:fill="FFFFFF"/>
        </w:rPr>
      </w:pPr>
      <w:r w:rsidRPr="006F2201">
        <w:rPr>
          <w:rStyle w:val="apple-style-span"/>
          <w:rFonts w:ascii="Arial Narrow" w:hAnsi="Arial Narrow"/>
          <w:b/>
          <w:color w:val="000000"/>
          <w:shd w:val="clear" w:color="auto" w:fill="FFFFFF"/>
        </w:rPr>
        <w:t>ARAŞTIRMANIN YÖNTEMİ</w:t>
      </w:r>
    </w:p>
    <w:p w:rsidR="006F2201" w:rsidRPr="006F2201" w:rsidRDefault="006F2201" w:rsidP="006F2201">
      <w:pPr>
        <w:spacing w:after="0" w:line="240" w:lineRule="auto"/>
        <w:ind w:firstLine="567"/>
        <w:jc w:val="both"/>
        <w:rPr>
          <w:rStyle w:val="apple-style-span"/>
          <w:color w:val="000000"/>
          <w:shd w:val="clear" w:color="auto" w:fill="FFFFFF"/>
        </w:rPr>
      </w:pPr>
      <w:r w:rsidRPr="006F2201">
        <w:rPr>
          <w:rStyle w:val="apple-style-span"/>
          <w:color w:val="000000"/>
          <w:shd w:val="clear" w:color="auto" w:fill="FFFFFF"/>
        </w:rPr>
        <w:t>TÜİK Tüketim Harcamaları İstatistikleri ve TÜİK Tüketici Fiyat Endeksi Harcama Gruplarına Göre Endeks Sonuçları üzerinden, farklı harcama gruplarının tüketim kalıpları dikkate alınarak, enflasyon kalıpları oluşturulmakta, bu kalıp üzerinden farklı gruplara göre enflasyon verileri hesaplanmaktadır. Gizli yoksullaşma oranı resmi TÜFE verileri ile farklı gruplar için hesaplanmış enflasyon oranlarındaki fark dikkate alınarak tespit edilmektedir.</w:t>
      </w:r>
      <w:r>
        <w:rPr>
          <w:rStyle w:val="apple-style-span"/>
          <w:color w:val="000000"/>
          <w:shd w:val="clear" w:color="auto" w:fill="FFFFFF"/>
        </w:rPr>
        <w:t xml:space="preserve"> </w:t>
      </w:r>
      <w:r w:rsidRPr="006F2201">
        <w:rPr>
          <w:rStyle w:val="apple-style-span"/>
          <w:color w:val="000000"/>
          <w:shd w:val="clear" w:color="auto" w:fill="FFFFFF"/>
        </w:rPr>
        <w:t xml:space="preserve"> Reel kayıp hesabında,</w:t>
      </w:r>
      <w:r>
        <w:rPr>
          <w:rStyle w:val="apple-style-span"/>
          <w:color w:val="000000"/>
          <w:shd w:val="clear" w:color="auto" w:fill="FFFFFF"/>
        </w:rPr>
        <w:t xml:space="preserve"> </w:t>
      </w:r>
      <w:r w:rsidRPr="006F2201">
        <w:rPr>
          <w:rStyle w:val="apple-style-span"/>
          <w:color w:val="000000"/>
          <w:shd w:val="clear" w:color="auto" w:fill="FFFFFF"/>
        </w:rPr>
        <w:t>Asgari ücret alım gücü kaybı hesabı = (100 + Asgari Ücret Artış Oranı) / (100 + Madde Fiyat Artış Oranı) – 1 formülü kullanılmaktadır.</w:t>
      </w:r>
    </w:p>
    <w:p w:rsidR="006F2201" w:rsidRPr="006F2201" w:rsidRDefault="006F2201" w:rsidP="006F2201">
      <w:pPr>
        <w:spacing w:before="120" w:after="120" w:line="240" w:lineRule="auto"/>
        <w:jc w:val="both"/>
        <w:outlineLvl w:val="0"/>
        <w:rPr>
          <w:rStyle w:val="apple-style-span"/>
          <w:b/>
          <w:color w:val="000000"/>
          <w:shd w:val="clear" w:color="auto" w:fill="FFFFFF"/>
        </w:rPr>
      </w:pPr>
      <w:r w:rsidRPr="006F2201">
        <w:rPr>
          <w:rStyle w:val="apple-style-span"/>
          <w:b/>
          <w:color w:val="000000"/>
          <w:shd w:val="clear" w:color="auto" w:fill="FFFFFF"/>
        </w:rPr>
        <w:lastRenderedPageBreak/>
        <w:t xml:space="preserve">Ek- Gelir ve statüye göre enflasyon oranları </w:t>
      </w:r>
    </w:p>
    <w:tbl>
      <w:tblPr>
        <w:tblW w:w="8505" w:type="dxa"/>
        <w:tblCellMar>
          <w:left w:w="70" w:type="dxa"/>
          <w:right w:w="70" w:type="dxa"/>
        </w:tblCellMar>
        <w:tblLook w:val="04A0" w:firstRow="1" w:lastRow="0" w:firstColumn="1" w:lastColumn="0" w:noHBand="0" w:noVBand="1"/>
      </w:tblPr>
      <w:tblGrid>
        <w:gridCol w:w="6133"/>
        <w:gridCol w:w="982"/>
        <w:gridCol w:w="1097"/>
        <w:gridCol w:w="1021"/>
        <w:gridCol w:w="963"/>
      </w:tblGrid>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6F2201" w:rsidRPr="006F2201" w:rsidRDefault="006F2201" w:rsidP="00885D00">
            <w:pPr>
              <w:spacing w:after="0" w:line="240" w:lineRule="auto"/>
              <w:rPr>
                <w:rFonts w:eastAsia="Times New Roman" w:cs="Arial"/>
                <w:b/>
                <w:bCs/>
                <w:color w:val="FFFFFF"/>
              </w:rPr>
            </w:pPr>
            <w:r w:rsidRPr="006F2201">
              <w:rPr>
                <w:rFonts w:eastAsia="Times New Roman" w:cs="Arial"/>
                <w:b/>
                <w:bCs/>
                <w:color w:val="FFFFFF"/>
              </w:rPr>
              <w:t>GELİR GRUPLARI</w:t>
            </w:r>
          </w:p>
        </w:tc>
        <w:tc>
          <w:tcPr>
            <w:tcW w:w="102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6F2201" w:rsidRPr="006F2201" w:rsidRDefault="006F2201" w:rsidP="00885D00">
            <w:pPr>
              <w:spacing w:after="0" w:line="240" w:lineRule="auto"/>
              <w:rPr>
                <w:rFonts w:eastAsia="Times New Roman" w:cs="Arial"/>
                <w:b/>
                <w:bCs/>
                <w:color w:val="FFFFFF"/>
              </w:rPr>
            </w:pPr>
            <w:r w:rsidRPr="006F2201">
              <w:rPr>
                <w:rFonts w:eastAsia="Times New Roman" w:cs="Arial"/>
                <w:b/>
                <w:bCs/>
                <w:color w:val="FFFFFF"/>
              </w:rPr>
              <w:t>13 YIL</w:t>
            </w:r>
          </w:p>
        </w:tc>
        <w:tc>
          <w:tcPr>
            <w:tcW w:w="114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6F2201" w:rsidRPr="006F2201" w:rsidRDefault="006F2201" w:rsidP="00885D00">
            <w:pPr>
              <w:spacing w:after="0" w:line="240" w:lineRule="auto"/>
              <w:rPr>
                <w:rFonts w:eastAsia="Times New Roman" w:cs="Arial"/>
                <w:b/>
                <w:bCs/>
                <w:color w:val="FFFFFF"/>
              </w:rPr>
            </w:pPr>
            <w:r w:rsidRPr="006F2201">
              <w:rPr>
                <w:rFonts w:eastAsia="Times New Roman" w:cs="Arial"/>
                <w:b/>
                <w:bCs/>
                <w:color w:val="FFFFFF"/>
              </w:rPr>
              <w:t>1 YIL</w:t>
            </w:r>
          </w:p>
        </w:tc>
        <w:tc>
          <w:tcPr>
            <w:tcW w:w="106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6F2201" w:rsidRPr="006F2201" w:rsidRDefault="006F2201" w:rsidP="00885D00">
            <w:pPr>
              <w:spacing w:after="0" w:line="240" w:lineRule="auto"/>
              <w:rPr>
                <w:rFonts w:eastAsia="Times New Roman" w:cs="Arial"/>
                <w:b/>
                <w:bCs/>
                <w:color w:val="FFFFFF"/>
              </w:rPr>
            </w:pPr>
            <w:proofErr w:type="gramStart"/>
            <w:r w:rsidRPr="006F2201">
              <w:rPr>
                <w:rFonts w:eastAsia="Times New Roman" w:cs="Arial"/>
                <w:b/>
                <w:bCs/>
                <w:color w:val="FFFFFF"/>
              </w:rPr>
              <w:t>YIL BAŞI</w:t>
            </w:r>
            <w:proofErr w:type="gramEnd"/>
          </w:p>
        </w:tc>
        <w:tc>
          <w:tcPr>
            <w:tcW w:w="100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6F2201" w:rsidRPr="006F2201" w:rsidRDefault="006F2201" w:rsidP="00885D00">
            <w:pPr>
              <w:spacing w:after="0" w:line="240" w:lineRule="auto"/>
              <w:rPr>
                <w:rFonts w:eastAsia="Times New Roman" w:cs="Arial"/>
                <w:b/>
                <w:bCs/>
                <w:color w:val="FFFFFF"/>
              </w:rPr>
            </w:pPr>
            <w:r w:rsidRPr="006F2201">
              <w:rPr>
                <w:rFonts w:eastAsia="Times New Roman" w:cs="Arial"/>
                <w:b/>
                <w:bCs/>
                <w:color w:val="FFFFFF"/>
              </w:rPr>
              <w:t>1 AY</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GENEL ENFLASYON</w:t>
            </w:r>
          </w:p>
        </w:tc>
        <w:tc>
          <w:tcPr>
            <w:tcW w:w="10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213,0%</w:t>
            </w:r>
          </w:p>
        </w:tc>
        <w:tc>
          <w:tcPr>
            <w:tcW w:w="11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11,90%</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9,52%</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2,08%</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İŞTEKİ DURUMA GÖRE</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Düzenli Ücretli Çalışanlar</w:t>
            </w:r>
          </w:p>
        </w:tc>
        <w:tc>
          <w:tcPr>
            <w:tcW w:w="10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232,0%</w:t>
            </w:r>
          </w:p>
        </w:tc>
        <w:tc>
          <w:tcPr>
            <w:tcW w:w="11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11,98%</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9,77%</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2,01%</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İşverenler</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226,9%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12,23%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9,96%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1,97%</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Kendi Hesabına Çalışanlar</w:t>
            </w:r>
          </w:p>
        </w:tc>
        <w:tc>
          <w:tcPr>
            <w:tcW w:w="10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231,8%</w:t>
            </w:r>
          </w:p>
        </w:tc>
        <w:tc>
          <w:tcPr>
            <w:tcW w:w="11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12,25%</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9,72%</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2,05%</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Ücretsiz Aile Çalışanları</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228,0%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12,56%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10,07%</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2,31%</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proofErr w:type="spellStart"/>
            <w:r w:rsidRPr="006F2201">
              <w:rPr>
                <w:rFonts w:eastAsia="Times New Roman" w:cs="Arial"/>
                <w:color w:val="000000"/>
              </w:rPr>
              <w:t>YevmiyeliGündelik</w:t>
            </w:r>
            <w:proofErr w:type="spellEnd"/>
            <w:r w:rsidRPr="006F2201">
              <w:rPr>
                <w:rFonts w:eastAsia="Times New Roman" w:cs="Arial"/>
                <w:color w:val="000000"/>
              </w:rPr>
              <w:t xml:space="preserve"> Çalışanlar</w:t>
            </w:r>
          </w:p>
        </w:tc>
        <w:tc>
          <w:tcPr>
            <w:tcW w:w="10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245,1%</w:t>
            </w:r>
          </w:p>
        </w:tc>
        <w:tc>
          <w:tcPr>
            <w:tcW w:w="11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11,57%</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9,19%</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1,85%</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Çalışmayanlar</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238,6%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11,65%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9,37%</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1,80%</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MESLEĞE GÖRE</w:t>
            </w:r>
          </w:p>
        </w:tc>
        <w:tc>
          <w:tcPr>
            <w:tcW w:w="10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Büro Hizmetlerinde Çalışan Elemanlar</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232,9%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11,67%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9,54%</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2,00%</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Çalışmayanlar</w:t>
            </w:r>
          </w:p>
        </w:tc>
        <w:tc>
          <w:tcPr>
            <w:tcW w:w="10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238,6%</w:t>
            </w:r>
          </w:p>
        </w:tc>
        <w:tc>
          <w:tcPr>
            <w:tcW w:w="11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11,65%</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9,37%</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1,80%</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Hizmet Ve Satış Elemanları</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233,7%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12,05%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9,71%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2,03%</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Nitelik Gerektirmeyen İşlerde Çalışanlar</w:t>
            </w:r>
          </w:p>
        </w:tc>
        <w:tc>
          <w:tcPr>
            <w:tcW w:w="10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240,8%</w:t>
            </w:r>
          </w:p>
        </w:tc>
        <w:tc>
          <w:tcPr>
            <w:tcW w:w="11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11,45%</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9,18%</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1,88%</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Nitelikli Tarım, Ormancılık Ve Su Ürünleri Çalışanları</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231,9%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12,08%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9,47%</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2,03%</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Profesyonel Meslek Mensupları</w:t>
            </w:r>
          </w:p>
        </w:tc>
        <w:tc>
          <w:tcPr>
            <w:tcW w:w="10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223,6%</w:t>
            </w:r>
          </w:p>
        </w:tc>
        <w:tc>
          <w:tcPr>
            <w:tcW w:w="11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12,47%</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10,32%</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2,13%</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proofErr w:type="gramStart"/>
            <w:r w:rsidRPr="006F2201">
              <w:rPr>
                <w:rFonts w:eastAsia="Times New Roman" w:cs="Arial"/>
                <w:color w:val="000000"/>
              </w:rPr>
              <w:t>Sanatkarlar</w:t>
            </w:r>
            <w:proofErr w:type="gramEnd"/>
            <w:r w:rsidRPr="006F2201">
              <w:rPr>
                <w:rFonts w:eastAsia="Times New Roman" w:cs="Arial"/>
                <w:color w:val="000000"/>
              </w:rPr>
              <w:t xml:space="preserve"> Ve İlgili İşlerde Çalışanlar</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235,6%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11,96%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9,60%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1,92%</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Teknisyenler, Teknikerler Ve Yardımcı Profesyonel Meslek Mensupları</w:t>
            </w:r>
          </w:p>
        </w:tc>
        <w:tc>
          <w:tcPr>
            <w:tcW w:w="10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229,0%</w:t>
            </w:r>
          </w:p>
        </w:tc>
        <w:tc>
          <w:tcPr>
            <w:tcW w:w="11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11,88%</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9,68%</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2,00%</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Tesis Ve Makine Operatörleri Ve Montajcılar</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240,4%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11,67%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9,39%</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1,92%</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Yöneticiler</w:t>
            </w:r>
          </w:p>
        </w:tc>
        <w:tc>
          <w:tcPr>
            <w:tcW w:w="10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228,2%</w:t>
            </w:r>
          </w:p>
        </w:tc>
        <w:tc>
          <w:tcPr>
            <w:tcW w:w="11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12,37%</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10,13%</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2,01%</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TEMEL GELİR KAYNAĞINA GÖRE</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Ücret, yevmiye</w:t>
            </w:r>
          </w:p>
        </w:tc>
        <w:tc>
          <w:tcPr>
            <w:tcW w:w="10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232,6%</w:t>
            </w:r>
          </w:p>
        </w:tc>
        <w:tc>
          <w:tcPr>
            <w:tcW w:w="11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11,97%</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9,72%</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1,99%</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proofErr w:type="spellStart"/>
            <w:r w:rsidRPr="006F2201">
              <w:rPr>
                <w:rFonts w:eastAsia="Times New Roman" w:cs="Arial"/>
                <w:color w:val="000000"/>
              </w:rPr>
              <w:t>Mütesebbis</w:t>
            </w:r>
            <w:proofErr w:type="spellEnd"/>
            <w:r w:rsidRPr="006F2201">
              <w:rPr>
                <w:rFonts w:eastAsia="Times New Roman" w:cs="Arial"/>
                <w:color w:val="000000"/>
              </w:rPr>
              <w:t xml:space="preserve"> Geliri</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231,7%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12,43%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9,95%</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2,04%</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Emekli aylığı</w:t>
            </w:r>
          </w:p>
        </w:tc>
        <w:tc>
          <w:tcPr>
            <w:tcW w:w="10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237,4%</w:t>
            </w:r>
          </w:p>
        </w:tc>
        <w:tc>
          <w:tcPr>
            <w:tcW w:w="11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11,59%</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9,26%</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1,80%</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Diğer Transferler</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242,8%</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11,22%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9,11%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1,75%</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Gayrimenkul Kira Geliri Ve Menkul Kıymet Faiz Geliri</w:t>
            </w:r>
          </w:p>
        </w:tc>
        <w:tc>
          <w:tcPr>
            <w:tcW w:w="10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237,0%</w:t>
            </w:r>
          </w:p>
        </w:tc>
        <w:tc>
          <w:tcPr>
            <w:tcW w:w="11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10,97%</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8,92%</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1,56%</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GELİR GRUPLARINA GÖRE</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 Yüzde 20 En Yoksul</w:t>
            </w:r>
          </w:p>
        </w:tc>
        <w:tc>
          <w:tcPr>
            <w:tcW w:w="10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240,7%</w:t>
            </w:r>
          </w:p>
        </w:tc>
        <w:tc>
          <w:tcPr>
            <w:tcW w:w="11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11,45%</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9,10%</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1,86%</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 Yüzde 20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238,0%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11,63%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9,30%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1,88%</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3. Yüzde 20</w:t>
            </w:r>
          </w:p>
        </w:tc>
        <w:tc>
          <w:tcPr>
            <w:tcW w:w="10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237,8%</w:t>
            </w:r>
          </w:p>
        </w:tc>
        <w:tc>
          <w:tcPr>
            <w:tcW w:w="11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11,64%</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9,31%</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1,92%</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4. Yüzde 20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237,8%</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11,64%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9,31%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1,92%</w:t>
            </w:r>
          </w:p>
        </w:tc>
      </w:tr>
      <w:tr w:rsidR="006F2201" w:rsidRPr="006F2201" w:rsidTr="00885D00">
        <w:trPr>
          <w:trHeight w:val="260"/>
        </w:trPr>
        <w:tc>
          <w:tcPr>
            <w:tcW w:w="64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5. Yüzde 20 En Zengin</w:t>
            </w:r>
          </w:p>
        </w:tc>
        <w:tc>
          <w:tcPr>
            <w:tcW w:w="10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227,6%</w:t>
            </w:r>
          </w:p>
        </w:tc>
        <w:tc>
          <w:tcPr>
            <w:tcW w:w="11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12,27%</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10,07%</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2,01%</w:t>
            </w:r>
          </w:p>
        </w:tc>
      </w:tr>
    </w:tbl>
    <w:p w:rsidR="006F2201" w:rsidRPr="006F2201" w:rsidRDefault="006F2201" w:rsidP="006F2201">
      <w:pPr>
        <w:spacing w:after="0" w:line="240" w:lineRule="auto"/>
        <w:jc w:val="both"/>
        <w:outlineLvl w:val="0"/>
        <w:rPr>
          <w:rStyle w:val="apple-style-span"/>
          <w:color w:val="000000"/>
          <w:shd w:val="clear" w:color="auto" w:fill="FFFFFF"/>
        </w:rPr>
      </w:pPr>
    </w:p>
    <w:p w:rsidR="00E341C0" w:rsidRDefault="00E341C0" w:rsidP="006F2201">
      <w:pPr>
        <w:spacing w:before="120" w:after="120" w:line="240" w:lineRule="auto"/>
        <w:jc w:val="both"/>
        <w:outlineLvl w:val="0"/>
        <w:rPr>
          <w:rStyle w:val="apple-style-span"/>
          <w:rFonts w:ascii="Arial Narrow" w:hAnsi="Arial Narrow"/>
          <w:b/>
          <w:color w:val="000000"/>
          <w:shd w:val="clear" w:color="auto" w:fill="FFFFFF"/>
        </w:rPr>
      </w:pPr>
    </w:p>
    <w:p w:rsidR="00E341C0" w:rsidRDefault="00E341C0" w:rsidP="006F2201">
      <w:pPr>
        <w:spacing w:before="120" w:after="120" w:line="240" w:lineRule="auto"/>
        <w:jc w:val="both"/>
        <w:outlineLvl w:val="0"/>
        <w:rPr>
          <w:rStyle w:val="apple-style-span"/>
          <w:rFonts w:ascii="Arial Narrow" w:hAnsi="Arial Narrow"/>
          <w:b/>
          <w:color w:val="000000"/>
          <w:shd w:val="clear" w:color="auto" w:fill="FFFFFF"/>
        </w:rPr>
      </w:pPr>
    </w:p>
    <w:p w:rsidR="00E341C0" w:rsidRDefault="00E341C0" w:rsidP="006F2201">
      <w:pPr>
        <w:spacing w:before="120" w:after="120" w:line="240" w:lineRule="auto"/>
        <w:jc w:val="both"/>
        <w:outlineLvl w:val="0"/>
        <w:rPr>
          <w:rStyle w:val="apple-style-span"/>
          <w:rFonts w:ascii="Arial Narrow" w:hAnsi="Arial Narrow"/>
          <w:b/>
          <w:color w:val="000000"/>
          <w:shd w:val="clear" w:color="auto" w:fill="FFFFFF"/>
        </w:rPr>
      </w:pPr>
    </w:p>
    <w:p w:rsidR="002407C4" w:rsidRDefault="002407C4" w:rsidP="006F2201">
      <w:pPr>
        <w:spacing w:before="120" w:after="120" w:line="240" w:lineRule="auto"/>
        <w:jc w:val="both"/>
        <w:outlineLvl w:val="0"/>
        <w:rPr>
          <w:rStyle w:val="apple-style-span"/>
          <w:rFonts w:ascii="Arial Narrow" w:hAnsi="Arial Narrow"/>
          <w:b/>
          <w:color w:val="000000"/>
          <w:shd w:val="clear" w:color="auto" w:fill="FFFFFF"/>
        </w:rPr>
      </w:pPr>
    </w:p>
    <w:p w:rsidR="002407C4" w:rsidRDefault="002407C4" w:rsidP="006F2201">
      <w:pPr>
        <w:spacing w:before="120" w:after="120" w:line="240" w:lineRule="auto"/>
        <w:jc w:val="both"/>
        <w:outlineLvl w:val="0"/>
        <w:rPr>
          <w:rStyle w:val="apple-style-span"/>
          <w:rFonts w:ascii="Arial Narrow" w:hAnsi="Arial Narrow"/>
          <w:b/>
          <w:color w:val="000000"/>
          <w:shd w:val="clear" w:color="auto" w:fill="FFFFFF"/>
        </w:rPr>
      </w:pPr>
    </w:p>
    <w:p w:rsidR="002407C4" w:rsidRDefault="002407C4" w:rsidP="006F2201">
      <w:pPr>
        <w:spacing w:before="120" w:after="120" w:line="240" w:lineRule="auto"/>
        <w:jc w:val="both"/>
        <w:outlineLvl w:val="0"/>
        <w:rPr>
          <w:rStyle w:val="apple-style-span"/>
          <w:rFonts w:ascii="Arial Narrow" w:hAnsi="Arial Narrow"/>
          <w:b/>
          <w:color w:val="000000"/>
          <w:shd w:val="clear" w:color="auto" w:fill="FFFFFF"/>
        </w:rPr>
      </w:pPr>
    </w:p>
    <w:p w:rsidR="002407C4" w:rsidRDefault="002407C4" w:rsidP="006F2201">
      <w:pPr>
        <w:spacing w:before="120" w:after="120" w:line="240" w:lineRule="auto"/>
        <w:jc w:val="both"/>
        <w:outlineLvl w:val="0"/>
        <w:rPr>
          <w:rStyle w:val="apple-style-span"/>
          <w:rFonts w:ascii="Arial Narrow" w:hAnsi="Arial Narrow"/>
          <w:b/>
          <w:color w:val="000000"/>
          <w:shd w:val="clear" w:color="auto" w:fill="FFFFFF"/>
        </w:rPr>
      </w:pPr>
    </w:p>
    <w:p w:rsidR="002407C4" w:rsidRDefault="002407C4" w:rsidP="006F2201">
      <w:pPr>
        <w:spacing w:before="120" w:after="120" w:line="240" w:lineRule="auto"/>
        <w:jc w:val="both"/>
        <w:outlineLvl w:val="0"/>
        <w:rPr>
          <w:rStyle w:val="apple-style-span"/>
          <w:rFonts w:ascii="Arial Narrow" w:hAnsi="Arial Narrow"/>
          <w:b/>
          <w:color w:val="000000"/>
          <w:shd w:val="clear" w:color="auto" w:fill="FFFFFF"/>
        </w:rPr>
      </w:pPr>
    </w:p>
    <w:p w:rsidR="002407C4" w:rsidRDefault="002407C4" w:rsidP="006F2201">
      <w:pPr>
        <w:spacing w:before="120" w:after="120" w:line="240" w:lineRule="auto"/>
        <w:jc w:val="both"/>
        <w:outlineLvl w:val="0"/>
        <w:rPr>
          <w:rStyle w:val="apple-style-span"/>
          <w:rFonts w:ascii="Arial Narrow" w:hAnsi="Arial Narrow"/>
          <w:b/>
          <w:color w:val="000000"/>
          <w:shd w:val="clear" w:color="auto" w:fill="FFFFFF"/>
        </w:rPr>
      </w:pPr>
    </w:p>
    <w:p w:rsidR="002407C4" w:rsidRDefault="002407C4" w:rsidP="006F2201">
      <w:pPr>
        <w:spacing w:before="120" w:after="120" w:line="240" w:lineRule="auto"/>
        <w:jc w:val="both"/>
        <w:outlineLvl w:val="0"/>
        <w:rPr>
          <w:rStyle w:val="apple-style-span"/>
          <w:rFonts w:ascii="Arial Narrow" w:hAnsi="Arial Narrow"/>
          <w:b/>
          <w:color w:val="000000"/>
          <w:shd w:val="clear" w:color="auto" w:fill="FFFFFF"/>
        </w:rPr>
      </w:pPr>
    </w:p>
    <w:p w:rsidR="002407C4" w:rsidRDefault="002407C4" w:rsidP="006F2201">
      <w:pPr>
        <w:spacing w:before="120" w:after="120" w:line="240" w:lineRule="auto"/>
        <w:jc w:val="both"/>
        <w:outlineLvl w:val="0"/>
        <w:rPr>
          <w:rStyle w:val="apple-style-span"/>
          <w:rFonts w:ascii="Arial Narrow" w:hAnsi="Arial Narrow"/>
          <w:b/>
          <w:color w:val="000000"/>
          <w:shd w:val="clear" w:color="auto" w:fill="FFFFFF"/>
        </w:rPr>
      </w:pPr>
    </w:p>
    <w:p w:rsidR="002407C4" w:rsidRDefault="002407C4" w:rsidP="006F2201">
      <w:pPr>
        <w:spacing w:before="120" w:after="120" w:line="240" w:lineRule="auto"/>
        <w:jc w:val="both"/>
        <w:outlineLvl w:val="0"/>
        <w:rPr>
          <w:rStyle w:val="apple-style-span"/>
          <w:rFonts w:ascii="Arial Narrow" w:hAnsi="Arial Narrow"/>
          <w:b/>
          <w:color w:val="000000"/>
          <w:shd w:val="clear" w:color="auto" w:fill="FFFFFF"/>
        </w:rPr>
      </w:pPr>
    </w:p>
    <w:p w:rsidR="002407C4" w:rsidRDefault="002407C4" w:rsidP="006F2201">
      <w:pPr>
        <w:spacing w:before="120" w:after="120" w:line="240" w:lineRule="auto"/>
        <w:jc w:val="both"/>
        <w:outlineLvl w:val="0"/>
        <w:rPr>
          <w:rStyle w:val="apple-style-span"/>
          <w:rFonts w:ascii="Arial Narrow" w:hAnsi="Arial Narrow"/>
          <w:b/>
          <w:color w:val="000000"/>
          <w:shd w:val="clear" w:color="auto" w:fill="FFFFFF"/>
        </w:rPr>
      </w:pPr>
    </w:p>
    <w:p w:rsidR="002407C4" w:rsidRDefault="002407C4" w:rsidP="006F2201">
      <w:pPr>
        <w:spacing w:before="120" w:after="120" w:line="240" w:lineRule="auto"/>
        <w:jc w:val="both"/>
        <w:outlineLvl w:val="0"/>
        <w:rPr>
          <w:rStyle w:val="apple-style-span"/>
          <w:rFonts w:ascii="Arial Narrow" w:hAnsi="Arial Narrow"/>
          <w:b/>
          <w:color w:val="000000"/>
          <w:shd w:val="clear" w:color="auto" w:fill="FFFFFF"/>
        </w:rPr>
      </w:pPr>
    </w:p>
    <w:p w:rsidR="002407C4" w:rsidRDefault="002407C4" w:rsidP="006F2201">
      <w:pPr>
        <w:spacing w:before="120" w:after="120" w:line="240" w:lineRule="auto"/>
        <w:jc w:val="both"/>
        <w:outlineLvl w:val="0"/>
        <w:rPr>
          <w:rStyle w:val="apple-style-span"/>
          <w:rFonts w:ascii="Arial Narrow" w:hAnsi="Arial Narrow"/>
          <w:b/>
          <w:color w:val="000000"/>
          <w:shd w:val="clear" w:color="auto" w:fill="FFFFFF"/>
        </w:rPr>
      </w:pPr>
    </w:p>
    <w:p w:rsidR="006F2201" w:rsidRPr="006F2201" w:rsidRDefault="006F2201" w:rsidP="006F2201">
      <w:pPr>
        <w:spacing w:before="120" w:after="120" w:line="240" w:lineRule="auto"/>
        <w:jc w:val="both"/>
        <w:outlineLvl w:val="0"/>
        <w:rPr>
          <w:rStyle w:val="apple-style-span"/>
          <w:rFonts w:ascii="Arial Narrow" w:hAnsi="Arial Narrow"/>
          <w:b/>
          <w:color w:val="000000"/>
          <w:shd w:val="clear" w:color="auto" w:fill="FFFFFF"/>
        </w:rPr>
      </w:pPr>
      <w:r w:rsidRPr="006F2201">
        <w:rPr>
          <w:rStyle w:val="apple-style-span"/>
          <w:rFonts w:ascii="Arial Narrow" w:hAnsi="Arial Narrow"/>
          <w:b/>
          <w:color w:val="000000"/>
          <w:shd w:val="clear" w:color="auto" w:fill="FFFFFF"/>
        </w:rPr>
        <w:lastRenderedPageBreak/>
        <w:t>Ek 2-Gelir Gruplarına Göre Gizli Yoksullaşma oranları</w:t>
      </w:r>
    </w:p>
    <w:tbl>
      <w:tblPr>
        <w:tblW w:w="9720" w:type="dxa"/>
        <w:tblCellMar>
          <w:left w:w="70" w:type="dxa"/>
          <w:right w:w="70" w:type="dxa"/>
        </w:tblCellMar>
        <w:tblLook w:val="04A0" w:firstRow="1" w:lastRow="0" w:firstColumn="1" w:lastColumn="0" w:noHBand="0" w:noVBand="1"/>
      </w:tblPr>
      <w:tblGrid>
        <w:gridCol w:w="6420"/>
        <w:gridCol w:w="3300"/>
      </w:tblGrid>
      <w:tr w:rsidR="006F2201" w:rsidRPr="006F2201" w:rsidTr="00885D00">
        <w:trPr>
          <w:trHeight w:val="330"/>
        </w:trPr>
        <w:tc>
          <w:tcPr>
            <w:tcW w:w="6420" w:type="dxa"/>
            <w:tcBorders>
              <w:top w:val="single" w:sz="4" w:space="0" w:color="95B3D7"/>
              <w:left w:val="single" w:sz="4" w:space="0" w:color="95B3D7"/>
              <w:bottom w:val="single" w:sz="4" w:space="0" w:color="95B3D7"/>
              <w:right w:val="nil"/>
            </w:tcBorders>
            <w:shd w:val="clear" w:color="4F81BD" w:fill="4F81BD"/>
            <w:vAlign w:val="bottom"/>
            <w:hideMark/>
          </w:tcPr>
          <w:p w:rsidR="006F2201" w:rsidRPr="006F2201" w:rsidRDefault="006F2201" w:rsidP="00885D00">
            <w:pPr>
              <w:spacing w:after="0" w:line="240" w:lineRule="auto"/>
              <w:rPr>
                <w:rFonts w:eastAsia="Times New Roman" w:cs="Arial"/>
                <w:b/>
                <w:bCs/>
                <w:color w:val="FFFFFF"/>
              </w:rPr>
            </w:pPr>
            <w:r w:rsidRPr="006F2201">
              <w:rPr>
                <w:rFonts w:eastAsia="Times New Roman" w:cs="Arial"/>
                <w:b/>
                <w:bCs/>
                <w:color w:val="FFFFFF"/>
              </w:rPr>
              <w:t>İŞTEKİ DURUMA GÖRE</w:t>
            </w:r>
          </w:p>
        </w:tc>
        <w:tc>
          <w:tcPr>
            <w:tcW w:w="3300" w:type="dxa"/>
            <w:tcBorders>
              <w:top w:val="single" w:sz="4" w:space="0" w:color="95B3D7"/>
              <w:left w:val="nil"/>
              <w:bottom w:val="single" w:sz="4" w:space="0" w:color="95B3D7"/>
              <w:right w:val="single" w:sz="4" w:space="0" w:color="95B3D7"/>
            </w:tcBorders>
            <w:shd w:val="clear" w:color="4F81BD" w:fill="4F81BD"/>
            <w:vAlign w:val="bottom"/>
            <w:hideMark/>
          </w:tcPr>
          <w:p w:rsidR="006F2201" w:rsidRPr="006F2201" w:rsidRDefault="006F2201" w:rsidP="00885D00">
            <w:pPr>
              <w:spacing w:after="0" w:line="240" w:lineRule="auto"/>
              <w:rPr>
                <w:rFonts w:eastAsia="Times New Roman" w:cs="Arial"/>
                <w:b/>
                <w:bCs/>
                <w:color w:val="FFFFFF"/>
              </w:rPr>
            </w:pPr>
            <w:r w:rsidRPr="006F2201">
              <w:rPr>
                <w:rFonts w:eastAsia="Times New Roman" w:cs="Arial"/>
                <w:b/>
                <w:bCs/>
                <w:color w:val="FFFFFF"/>
              </w:rPr>
              <w:t>GİZLİ YOKSULLAŞMA ORANI (%)</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xml:space="preserve"> Düzenli Ücretli Çalışanlar</w:t>
            </w:r>
          </w:p>
        </w:tc>
        <w:tc>
          <w:tcPr>
            <w:tcW w:w="3300" w:type="dxa"/>
            <w:tcBorders>
              <w:top w:val="single" w:sz="4" w:space="0" w:color="95B3D7"/>
              <w:left w:val="nil"/>
              <w:bottom w:val="single" w:sz="4" w:space="0" w:color="95B3D7"/>
              <w:right w:val="single" w:sz="4" w:space="0" w:color="95B3D7"/>
            </w:tcBorders>
            <w:shd w:val="clear" w:color="DCE6F1" w:fill="DCE6F1"/>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6,1%</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xml:space="preserve"> İşverenler</w:t>
            </w:r>
          </w:p>
        </w:tc>
        <w:tc>
          <w:tcPr>
            <w:tcW w:w="3300" w:type="dxa"/>
            <w:tcBorders>
              <w:top w:val="single" w:sz="4" w:space="0" w:color="95B3D7"/>
              <w:left w:val="nil"/>
              <w:bottom w:val="single" w:sz="4" w:space="0" w:color="95B3D7"/>
              <w:right w:val="single" w:sz="4" w:space="0" w:color="95B3D7"/>
            </w:tcBorders>
            <w:shd w:val="clear" w:color="auto" w:fill="auto"/>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4,4%</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xml:space="preserve"> Kendi Hesabına Çalışanlar</w:t>
            </w:r>
          </w:p>
        </w:tc>
        <w:tc>
          <w:tcPr>
            <w:tcW w:w="3300" w:type="dxa"/>
            <w:tcBorders>
              <w:top w:val="single" w:sz="4" w:space="0" w:color="95B3D7"/>
              <w:left w:val="nil"/>
              <w:bottom w:val="single" w:sz="4" w:space="0" w:color="95B3D7"/>
              <w:right w:val="single" w:sz="4" w:space="0" w:color="95B3D7"/>
            </w:tcBorders>
            <w:shd w:val="clear" w:color="DCE6F1" w:fill="DCE6F1"/>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6,0%</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xml:space="preserve"> Ücretsiz Aile Çalışanları</w:t>
            </w:r>
          </w:p>
        </w:tc>
        <w:tc>
          <w:tcPr>
            <w:tcW w:w="3300" w:type="dxa"/>
            <w:tcBorders>
              <w:top w:val="single" w:sz="4" w:space="0" w:color="95B3D7"/>
              <w:left w:val="nil"/>
              <w:bottom w:val="single" w:sz="4" w:space="0" w:color="95B3D7"/>
              <w:right w:val="single" w:sz="4" w:space="0" w:color="95B3D7"/>
            </w:tcBorders>
            <w:shd w:val="clear" w:color="auto" w:fill="auto"/>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4,8%</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xml:space="preserve"> Yevmiyeli Gündelik Çalışanlar</w:t>
            </w:r>
          </w:p>
        </w:tc>
        <w:tc>
          <w:tcPr>
            <w:tcW w:w="3300" w:type="dxa"/>
            <w:tcBorders>
              <w:top w:val="single" w:sz="4" w:space="0" w:color="95B3D7"/>
              <w:left w:val="nil"/>
              <w:bottom w:val="single" w:sz="4" w:space="0" w:color="95B3D7"/>
              <w:right w:val="single" w:sz="4" w:space="0" w:color="95B3D7"/>
            </w:tcBorders>
            <w:shd w:val="clear" w:color="DCE6F1" w:fill="DCE6F1"/>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10,3%</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xml:space="preserve"> Çalışmayanlar</w:t>
            </w:r>
          </w:p>
        </w:tc>
        <w:tc>
          <w:tcPr>
            <w:tcW w:w="3300" w:type="dxa"/>
            <w:tcBorders>
              <w:top w:val="single" w:sz="4" w:space="0" w:color="95B3D7"/>
              <w:left w:val="nil"/>
              <w:bottom w:val="single" w:sz="4" w:space="0" w:color="95B3D7"/>
              <w:right w:val="single" w:sz="4" w:space="0" w:color="95B3D7"/>
            </w:tcBorders>
            <w:shd w:val="clear" w:color="auto" w:fill="auto"/>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8,2%</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MESLEĞE GÖRE</w:t>
            </w:r>
          </w:p>
        </w:tc>
        <w:tc>
          <w:tcPr>
            <w:tcW w:w="3300" w:type="dxa"/>
            <w:tcBorders>
              <w:top w:val="single" w:sz="4" w:space="0" w:color="95B3D7"/>
              <w:left w:val="nil"/>
              <w:bottom w:val="single" w:sz="4" w:space="0" w:color="95B3D7"/>
              <w:right w:val="single" w:sz="4" w:space="0" w:color="95B3D7"/>
            </w:tcBorders>
            <w:shd w:val="clear" w:color="DCE6F1" w:fill="DCE6F1"/>
            <w:noWrap/>
            <w:vAlign w:val="bottom"/>
            <w:hideMark/>
          </w:tcPr>
          <w:p w:rsidR="006F2201" w:rsidRPr="006F2201" w:rsidRDefault="006F2201" w:rsidP="00885D00">
            <w:pPr>
              <w:spacing w:after="0" w:line="240" w:lineRule="auto"/>
              <w:jc w:val="right"/>
              <w:rPr>
                <w:rFonts w:eastAsia="Times New Roman" w:cs="Arial"/>
                <w:color w:val="000000"/>
              </w:rPr>
            </w:pP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xml:space="preserve"> Büro Hizmetlerinde Çalışan Elemanlar</w:t>
            </w:r>
          </w:p>
        </w:tc>
        <w:tc>
          <w:tcPr>
            <w:tcW w:w="3300" w:type="dxa"/>
            <w:tcBorders>
              <w:top w:val="single" w:sz="4" w:space="0" w:color="95B3D7"/>
              <w:left w:val="nil"/>
              <w:bottom w:val="single" w:sz="4" w:space="0" w:color="95B3D7"/>
              <w:right w:val="single" w:sz="4" w:space="0" w:color="95B3D7"/>
            </w:tcBorders>
            <w:shd w:val="clear" w:color="auto" w:fill="auto"/>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6,3%</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xml:space="preserve"> Çalışmayanlar</w:t>
            </w:r>
          </w:p>
        </w:tc>
        <w:tc>
          <w:tcPr>
            <w:tcW w:w="3300" w:type="dxa"/>
            <w:tcBorders>
              <w:top w:val="single" w:sz="4" w:space="0" w:color="95B3D7"/>
              <w:left w:val="nil"/>
              <w:bottom w:val="single" w:sz="4" w:space="0" w:color="95B3D7"/>
              <w:right w:val="single" w:sz="4" w:space="0" w:color="95B3D7"/>
            </w:tcBorders>
            <w:shd w:val="clear" w:color="DCE6F1" w:fill="DCE6F1"/>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8,2%</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xml:space="preserve"> Hizmet Ve Satış Elemanları</w:t>
            </w:r>
          </w:p>
        </w:tc>
        <w:tc>
          <w:tcPr>
            <w:tcW w:w="3300" w:type="dxa"/>
            <w:tcBorders>
              <w:top w:val="single" w:sz="4" w:space="0" w:color="95B3D7"/>
              <w:left w:val="nil"/>
              <w:bottom w:val="single" w:sz="4" w:space="0" w:color="95B3D7"/>
              <w:right w:val="single" w:sz="4" w:space="0" w:color="95B3D7"/>
            </w:tcBorders>
            <w:shd w:val="clear" w:color="auto" w:fill="auto"/>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6,6%</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xml:space="preserve"> Nitelik Gerektirmeyen İşlerde Çalışanlar</w:t>
            </w:r>
          </w:p>
        </w:tc>
        <w:tc>
          <w:tcPr>
            <w:tcW w:w="3300" w:type="dxa"/>
            <w:tcBorders>
              <w:top w:val="single" w:sz="4" w:space="0" w:color="95B3D7"/>
              <w:left w:val="nil"/>
              <w:bottom w:val="single" w:sz="4" w:space="0" w:color="95B3D7"/>
              <w:right w:val="single" w:sz="4" w:space="0" w:color="95B3D7"/>
            </w:tcBorders>
            <w:shd w:val="clear" w:color="DCE6F1" w:fill="DCE6F1"/>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8,9%</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xml:space="preserve"> Nitelikli Tarım, Ormancılık Ve Su Ürünleri Çalışanları</w:t>
            </w:r>
          </w:p>
        </w:tc>
        <w:tc>
          <w:tcPr>
            <w:tcW w:w="3300" w:type="dxa"/>
            <w:tcBorders>
              <w:top w:val="single" w:sz="4" w:space="0" w:color="95B3D7"/>
              <w:left w:val="nil"/>
              <w:bottom w:val="single" w:sz="4" w:space="0" w:color="95B3D7"/>
              <w:right w:val="single" w:sz="4" w:space="0" w:color="95B3D7"/>
            </w:tcBorders>
            <w:shd w:val="clear" w:color="auto" w:fill="auto"/>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6,0%</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xml:space="preserve"> Profesyonel Meslek Mensupları</w:t>
            </w:r>
          </w:p>
        </w:tc>
        <w:tc>
          <w:tcPr>
            <w:tcW w:w="3300" w:type="dxa"/>
            <w:tcBorders>
              <w:top w:val="single" w:sz="4" w:space="0" w:color="95B3D7"/>
              <w:left w:val="nil"/>
              <w:bottom w:val="single" w:sz="4" w:space="0" w:color="95B3D7"/>
              <w:right w:val="single" w:sz="4" w:space="0" w:color="95B3D7"/>
            </w:tcBorders>
            <w:shd w:val="clear" w:color="DCE6F1" w:fill="DCE6F1"/>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3,4%</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xml:space="preserve"> </w:t>
            </w:r>
            <w:proofErr w:type="gramStart"/>
            <w:r w:rsidRPr="006F2201">
              <w:rPr>
                <w:rFonts w:eastAsia="Times New Roman" w:cs="Arial"/>
                <w:color w:val="000000"/>
              </w:rPr>
              <w:t>Sanatkarlar</w:t>
            </w:r>
            <w:proofErr w:type="gramEnd"/>
            <w:r w:rsidRPr="006F2201">
              <w:rPr>
                <w:rFonts w:eastAsia="Times New Roman" w:cs="Arial"/>
                <w:color w:val="000000"/>
              </w:rPr>
              <w:t xml:space="preserve"> Ve İlgili İşlerde Çalışanlar</w:t>
            </w:r>
          </w:p>
        </w:tc>
        <w:tc>
          <w:tcPr>
            <w:tcW w:w="3300" w:type="dxa"/>
            <w:tcBorders>
              <w:top w:val="single" w:sz="4" w:space="0" w:color="95B3D7"/>
              <w:left w:val="nil"/>
              <w:bottom w:val="single" w:sz="4" w:space="0" w:color="95B3D7"/>
              <w:right w:val="single" w:sz="4" w:space="0" w:color="95B3D7"/>
            </w:tcBorders>
            <w:shd w:val="clear" w:color="auto" w:fill="auto"/>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7,2%</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xml:space="preserve"> Teknisyenler, Teknikerler ve </w:t>
            </w:r>
            <w:proofErr w:type="spellStart"/>
            <w:r w:rsidRPr="006F2201">
              <w:rPr>
                <w:rFonts w:eastAsia="Times New Roman" w:cs="Arial"/>
                <w:color w:val="000000"/>
              </w:rPr>
              <w:t>Yard</w:t>
            </w:r>
            <w:proofErr w:type="spellEnd"/>
            <w:r w:rsidRPr="006F2201">
              <w:rPr>
                <w:rFonts w:eastAsia="Times New Roman" w:cs="Arial"/>
                <w:color w:val="000000"/>
              </w:rPr>
              <w:t>. Prof. Meslek Mensupları</w:t>
            </w:r>
          </w:p>
        </w:tc>
        <w:tc>
          <w:tcPr>
            <w:tcW w:w="3300" w:type="dxa"/>
            <w:tcBorders>
              <w:top w:val="single" w:sz="4" w:space="0" w:color="95B3D7"/>
              <w:left w:val="nil"/>
              <w:bottom w:val="single" w:sz="4" w:space="0" w:color="95B3D7"/>
              <w:right w:val="single" w:sz="4" w:space="0" w:color="95B3D7"/>
            </w:tcBorders>
            <w:shd w:val="clear" w:color="DCE6F1" w:fill="DCE6F1"/>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5,1%</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xml:space="preserve"> Tesis Ve Makine Operatörleri Ve Montajcılar</w:t>
            </w:r>
          </w:p>
        </w:tc>
        <w:tc>
          <w:tcPr>
            <w:tcW w:w="3300" w:type="dxa"/>
            <w:tcBorders>
              <w:top w:val="single" w:sz="4" w:space="0" w:color="95B3D7"/>
              <w:left w:val="nil"/>
              <w:bottom w:val="single" w:sz="4" w:space="0" w:color="95B3D7"/>
              <w:right w:val="single" w:sz="4" w:space="0" w:color="95B3D7"/>
            </w:tcBorders>
            <w:shd w:val="clear" w:color="auto" w:fill="auto"/>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8,8%</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 xml:space="preserve"> Yöneticiler</w:t>
            </w:r>
          </w:p>
        </w:tc>
        <w:tc>
          <w:tcPr>
            <w:tcW w:w="3300" w:type="dxa"/>
            <w:tcBorders>
              <w:top w:val="single" w:sz="4" w:space="0" w:color="95B3D7"/>
              <w:left w:val="nil"/>
              <w:bottom w:val="single" w:sz="4" w:space="0" w:color="95B3D7"/>
              <w:right w:val="single" w:sz="4" w:space="0" w:color="95B3D7"/>
            </w:tcBorders>
            <w:shd w:val="clear" w:color="DCE6F1" w:fill="DCE6F1"/>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4,9%</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TEMEL GELİR KAYNAĞINA GÖRE</w:t>
            </w:r>
          </w:p>
        </w:tc>
        <w:tc>
          <w:tcPr>
            <w:tcW w:w="3300" w:type="dxa"/>
            <w:tcBorders>
              <w:top w:val="single" w:sz="4" w:space="0" w:color="95B3D7"/>
              <w:left w:val="nil"/>
              <w:bottom w:val="single" w:sz="4" w:space="0" w:color="95B3D7"/>
              <w:right w:val="single" w:sz="4" w:space="0" w:color="95B3D7"/>
            </w:tcBorders>
            <w:shd w:val="clear" w:color="auto" w:fill="auto"/>
            <w:noWrap/>
            <w:vAlign w:val="bottom"/>
            <w:hideMark/>
          </w:tcPr>
          <w:p w:rsidR="006F2201" w:rsidRPr="006F2201" w:rsidRDefault="006F2201" w:rsidP="00885D00">
            <w:pPr>
              <w:spacing w:after="0" w:line="240" w:lineRule="auto"/>
              <w:jc w:val="right"/>
              <w:rPr>
                <w:rFonts w:eastAsia="Times New Roman" w:cs="Arial"/>
                <w:color w:val="000000"/>
              </w:rPr>
            </w:pP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Ücret, yevmiye</w:t>
            </w:r>
          </w:p>
        </w:tc>
        <w:tc>
          <w:tcPr>
            <w:tcW w:w="3300" w:type="dxa"/>
            <w:tcBorders>
              <w:top w:val="single" w:sz="4" w:space="0" w:color="95B3D7"/>
              <w:left w:val="nil"/>
              <w:bottom w:val="single" w:sz="4" w:space="0" w:color="95B3D7"/>
              <w:right w:val="single" w:sz="4" w:space="0" w:color="95B3D7"/>
            </w:tcBorders>
            <w:shd w:val="clear" w:color="DCE6F1" w:fill="DCE6F1"/>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6,3%</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proofErr w:type="spellStart"/>
            <w:r w:rsidRPr="006F2201">
              <w:rPr>
                <w:rFonts w:eastAsia="Times New Roman" w:cs="Arial"/>
                <w:color w:val="000000"/>
              </w:rPr>
              <w:t>Mütesebbis</w:t>
            </w:r>
            <w:proofErr w:type="spellEnd"/>
            <w:r w:rsidRPr="006F2201">
              <w:rPr>
                <w:rFonts w:eastAsia="Times New Roman" w:cs="Arial"/>
                <w:color w:val="000000"/>
              </w:rPr>
              <w:t xml:space="preserve"> Geliri</w:t>
            </w:r>
          </w:p>
        </w:tc>
        <w:tc>
          <w:tcPr>
            <w:tcW w:w="3300" w:type="dxa"/>
            <w:tcBorders>
              <w:top w:val="single" w:sz="4" w:space="0" w:color="95B3D7"/>
              <w:left w:val="nil"/>
              <w:bottom w:val="single" w:sz="4" w:space="0" w:color="95B3D7"/>
              <w:right w:val="single" w:sz="4" w:space="0" w:color="95B3D7"/>
            </w:tcBorders>
            <w:shd w:val="clear" w:color="auto" w:fill="auto"/>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6,0%</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Emekli aylığı</w:t>
            </w:r>
          </w:p>
        </w:tc>
        <w:tc>
          <w:tcPr>
            <w:tcW w:w="3300" w:type="dxa"/>
            <w:tcBorders>
              <w:top w:val="single" w:sz="4" w:space="0" w:color="95B3D7"/>
              <w:left w:val="nil"/>
              <w:bottom w:val="single" w:sz="4" w:space="0" w:color="95B3D7"/>
              <w:right w:val="single" w:sz="4" w:space="0" w:color="95B3D7"/>
            </w:tcBorders>
            <w:shd w:val="clear" w:color="DCE6F1" w:fill="DCE6F1"/>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7,8%</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Diğer Transferler</w:t>
            </w:r>
          </w:p>
        </w:tc>
        <w:tc>
          <w:tcPr>
            <w:tcW w:w="3300" w:type="dxa"/>
            <w:tcBorders>
              <w:top w:val="single" w:sz="4" w:space="0" w:color="95B3D7"/>
              <w:left w:val="nil"/>
              <w:bottom w:val="single" w:sz="4" w:space="0" w:color="95B3D7"/>
              <w:right w:val="single" w:sz="4" w:space="0" w:color="95B3D7"/>
            </w:tcBorders>
            <w:shd w:val="clear" w:color="auto" w:fill="auto"/>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9,5%</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Gayrimenkul Kira Geliri Ve Menkul Kıymet Faiz Geliri</w:t>
            </w:r>
          </w:p>
        </w:tc>
        <w:tc>
          <w:tcPr>
            <w:tcW w:w="3300" w:type="dxa"/>
            <w:tcBorders>
              <w:top w:val="single" w:sz="4" w:space="0" w:color="95B3D7"/>
              <w:left w:val="nil"/>
              <w:bottom w:val="single" w:sz="4" w:space="0" w:color="95B3D7"/>
              <w:right w:val="single" w:sz="4" w:space="0" w:color="95B3D7"/>
            </w:tcBorders>
            <w:shd w:val="clear" w:color="DCE6F1" w:fill="DCE6F1"/>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7,7%</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GELİR GRUPLARINA GÖRE</w:t>
            </w:r>
          </w:p>
        </w:tc>
        <w:tc>
          <w:tcPr>
            <w:tcW w:w="3300" w:type="dxa"/>
            <w:tcBorders>
              <w:top w:val="single" w:sz="4" w:space="0" w:color="95B3D7"/>
              <w:left w:val="nil"/>
              <w:bottom w:val="single" w:sz="4" w:space="0" w:color="95B3D7"/>
              <w:right w:val="single" w:sz="4" w:space="0" w:color="95B3D7"/>
            </w:tcBorders>
            <w:shd w:val="clear" w:color="auto" w:fill="auto"/>
            <w:noWrap/>
            <w:vAlign w:val="bottom"/>
            <w:hideMark/>
          </w:tcPr>
          <w:p w:rsidR="006F2201" w:rsidRPr="006F2201" w:rsidRDefault="006F2201" w:rsidP="00885D00">
            <w:pPr>
              <w:spacing w:after="0" w:line="240" w:lineRule="auto"/>
              <w:jc w:val="right"/>
              <w:rPr>
                <w:rFonts w:eastAsia="Times New Roman" w:cs="Arial"/>
                <w:color w:val="000000"/>
              </w:rPr>
            </w:pP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Yüzde 20 En Yoksul</w:t>
            </w:r>
          </w:p>
        </w:tc>
        <w:tc>
          <w:tcPr>
            <w:tcW w:w="3300" w:type="dxa"/>
            <w:tcBorders>
              <w:top w:val="single" w:sz="4" w:space="0" w:color="95B3D7"/>
              <w:left w:val="nil"/>
              <w:bottom w:val="single" w:sz="4" w:space="0" w:color="95B3D7"/>
              <w:right w:val="single" w:sz="4" w:space="0" w:color="95B3D7"/>
            </w:tcBorders>
            <w:shd w:val="clear" w:color="DCE6F1" w:fill="DCE6F1"/>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8,8%</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Yüzde 20</w:t>
            </w:r>
          </w:p>
        </w:tc>
        <w:tc>
          <w:tcPr>
            <w:tcW w:w="3300" w:type="dxa"/>
            <w:tcBorders>
              <w:top w:val="single" w:sz="4" w:space="0" w:color="95B3D7"/>
              <w:left w:val="nil"/>
              <w:bottom w:val="single" w:sz="4" w:space="0" w:color="95B3D7"/>
              <w:right w:val="single" w:sz="4" w:space="0" w:color="95B3D7"/>
            </w:tcBorders>
            <w:shd w:val="clear" w:color="auto" w:fill="auto"/>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8,0%</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Yüzde 20</w:t>
            </w:r>
          </w:p>
        </w:tc>
        <w:tc>
          <w:tcPr>
            <w:tcW w:w="3300" w:type="dxa"/>
            <w:tcBorders>
              <w:top w:val="single" w:sz="4" w:space="0" w:color="95B3D7"/>
              <w:left w:val="nil"/>
              <w:bottom w:val="single" w:sz="4" w:space="0" w:color="95B3D7"/>
              <w:right w:val="single" w:sz="4" w:space="0" w:color="95B3D7"/>
            </w:tcBorders>
            <w:shd w:val="clear" w:color="DCE6F1" w:fill="DCE6F1"/>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7,9%</w:t>
            </w:r>
          </w:p>
        </w:tc>
      </w:tr>
      <w:tr w:rsidR="006F2201" w:rsidRPr="006F2201" w:rsidTr="00885D00">
        <w:trPr>
          <w:trHeight w:val="260"/>
        </w:trPr>
        <w:tc>
          <w:tcPr>
            <w:tcW w:w="6420" w:type="dxa"/>
            <w:tcBorders>
              <w:top w:val="single" w:sz="4" w:space="0" w:color="95B3D7"/>
              <w:left w:val="single" w:sz="4" w:space="0" w:color="95B3D7"/>
              <w:bottom w:val="single" w:sz="4" w:space="0" w:color="95B3D7"/>
              <w:right w:val="nil"/>
            </w:tcBorders>
            <w:shd w:val="clear" w:color="auto" w:fill="auto"/>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Yüzde 20</w:t>
            </w:r>
          </w:p>
        </w:tc>
        <w:tc>
          <w:tcPr>
            <w:tcW w:w="3300" w:type="dxa"/>
            <w:tcBorders>
              <w:top w:val="single" w:sz="4" w:space="0" w:color="95B3D7"/>
              <w:left w:val="nil"/>
              <w:bottom w:val="single" w:sz="4" w:space="0" w:color="95B3D7"/>
              <w:right w:val="single" w:sz="4" w:space="0" w:color="95B3D7"/>
            </w:tcBorders>
            <w:shd w:val="clear" w:color="auto" w:fill="auto"/>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7,9%</w:t>
            </w:r>
          </w:p>
        </w:tc>
      </w:tr>
      <w:tr w:rsidR="006F2201" w:rsidRPr="006F2201" w:rsidTr="00885D00">
        <w:trPr>
          <w:trHeight w:val="181"/>
        </w:trPr>
        <w:tc>
          <w:tcPr>
            <w:tcW w:w="6420" w:type="dxa"/>
            <w:tcBorders>
              <w:top w:val="single" w:sz="4" w:space="0" w:color="95B3D7"/>
              <w:left w:val="single" w:sz="4" w:space="0" w:color="95B3D7"/>
              <w:bottom w:val="single" w:sz="4" w:space="0" w:color="95B3D7"/>
              <w:right w:val="nil"/>
            </w:tcBorders>
            <w:shd w:val="clear" w:color="DCE6F1" w:fill="DCE6F1"/>
            <w:noWrap/>
            <w:vAlign w:val="bottom"/>
            <w:hideMark/>
          </w:tcPr>
          <w:p w:rsidR="006F2201" w:rsidRPr="006F2201" w:rsidRDefault="006F2201" w:rsidP="00885D00">
            <w:pPr>
              <w:spacing w:after="0" w:line="240" w:lineRule="auto"/>
              <w:rPr>
                <w:rFonts w:eastAsia="Times New Roman" w:cs="Arial"/>
                <w:color w:val="000000"/>
              </w:rPr>
            </w:pPr>
            <w:r w:rsidRPr="006F2201">
              <w:rPr>
                <w:rFonts w:eastAsia="Times New Roman" w:cs="Arial"/>
                <w:color w:val="000000"/>
              </w:rPr>
              <w:t>Yüzde 20 En Zengin</w:t>
            </w:r>
          </w:p>
        </w:tc>
        <w:tc>
          <w:tcPr>
            <w:tcW w:w="3300" w:type="dxa"/>
            <w:tcBorders>
              <w:top w:val="single" w:sz="4" w:space="0" w:color="95B3D7"/>
              <w:left w:val="nil"/>
              <w:bottom w:val="single" w:sz="4" w:space="0" w:color="95B3D7"/>
              <w:right w:val="single" w:sz="4" w:space="0" w:color="95B3D7"/>
            </w:tcBorders>
            <w:shd w:val="clear" w:color="DCE6F1" w:fill="DCE6F1"/>
            <w:noWrap/>
            <w:vAlign w:val="bottom"/>
            <w:hideMark/>
          </w:tcPr>
          <w:p w:rsidR="006F2201" w:rsidRPr="006F2201" w:rsidRDefault="006F2201" w:rsidP="00885D00">
            <w:pPr>
              <w:spacing w:after="0" w:line="240" w:lineRule="auto"/>
              <w:jc w:val="right"/>
              <w:rPr>
                <w:rFonts w:eastAsia="Times New Roman" w:cs="Arial"/>
                <w:color w:val="000000"/>
              </w:rPr>
            </w:pPr>
            <w:r w:rsidRPr="006F2201">
              <w:rPr>
                <w:rFonts w:eastAsia="Times New Roman" w:cs="Arial"/>
                <w:color w:val="000000"/>
              </w:rPr>
              <w:t>4,7%</w:t>
            </w:r>
          </w:p>
        </w:tc>
      </w:tr>
    </w:tbl>
    <w:p w:rsidR="006F2201" w:rsidRPr="003225EC" w:rsidRDefault="006F2201" w:rsidP="006F2201">
      <w:pPr>
        <w:spacing w:after="0" w:line="240" w:lineRule="auto"/>
        <w:jc w:val="both"/>
        <w:outlineLvl w:val="0"/>
        <w:rPr>
          <w:rStyle w:val="apple-style-span"/>
          <w:rFonts w:ascii="Garamond" w:hAnsi="Garamond"/>
          <w:color w:val="000000"/>
          <w:shd w:val="clear" w:color="auto" w:fill="FFFFFF"/>
        </w:rPr>
      </w:pPr>
      <w:r w:rsidRPr="003225EC">
        <w:rPr>
          <w:rStyle w:val="apple-style-span"/>
          <w:rFonts w:ascii="Garamond" w:hAnsi="Garamond"/>
          <w:color w:val="000000"/>
          <w:shd w:val="clear" w:color="auto" w:fill="FFFFFF"/>
        </w:rPr>
        <w:t xml:space="preserve"> </w:t>
      </w:r>
    </w:p>
    <w:p w:rsidR="00953B9E" w:rsidRPr="00953B9E" w:rsidRDefault="00953B9E" w:rsidP="00953B9E">
      <w:pPr>
        <w:pStyle w:val="Balk5"/>
        <w:spacing w:before="80" w:line="240" w:lineRule="auto"/>
        <w:ind w:left="3538" w:firstLine="709"/>
        <w:jc w:val="right"/>
        <w:rPr>
          <w:b/>
          <w:i w:val="0"/>
          <w:lang w:eastAsia="en-US"/>
        </w:rPr>
      </w:pPr>
      <w:r w:rsidRPr="00953B9E">
        <w:rPr>
          <w:b/>
          <w:i w:val="0"/>
          <w:lang w:eastAsia="en-US"/>
        </w:rPr>
        <w:t>B</w:t>
      </w:r>
      <w:r w:rsidRPr="00953B9E">
        <w:rPr>
          <w:rFonts w:cs="Cambria"/>
          <w:b/>
          <w:i w:val="0"/>
          <w:lang w:eastAsia="en-US"/>
        </w:rPr>
        <w:t>İ</w:t>
      </w:r>
      <w:r w:rsidRPr="00953B9E">
        <w:rPr>
          <w:rFonts w:cs="Revue BT"/>
          <w:b/>
          <w:i w:val="0"/>
          <w:lang w:eastAsia="en-US"/>
        </w:rPr>
        <w:t>RLE</w:t>
      </w:r>
      <w:r w:rsidRPr="00953B9E">
        <w:rPr>
          <w:rFonts w:cs="Cambria"/>
          <w:b/>
          <w:i w:val="0"/>
          <w:lang w:eastAsia="en-US"/>
        </w:rPr>
        <w:t>Şİ</w:t>
      </w:r>
      <w:r w:rsidRPr="00953B9E">
        <w:rPr>
          <w:rFonts w:cs="Revue BT"/>
          <w:b/>
          <w:i w:val="0"/>
          <w:lang w:eastAsia="en-US"/>
        </w:rPr>
        <w:t>K METAL-</w:t>
      </w:r>
      <w:r w:rsidRPr="00953B9E">
        <w:rPr>
          <w:rFonts w:cs="Cambria"/>
          <w:b/>
          <w:i w:val="0"/>
          <w:lang w:eastAsia="en-US"/>
        </w:rPr>
        <w:t>İŞ</w:t>
      </w:r>
      <w:r w:rsidRPr="00953B9E">
        <w:rPr>
          <w:rFonts w:cs="Revue BT"/>
          <w:b/>
          <w:i w:val="0"/>
          <w:lang w:eastAsia="en-US"/>
        </w:rPr>
        <w:t xml:space="preserve"> SEND</w:t>
      </w:r>
      <w:r w:rsidRPr="00953B9E">
        <w:rPr>
          <w:rFonts w:cs="Cambria"/>
          <w:b/>
          <w:i w:val="0"/>
          <w:lang w:eastAsia="en-US"/>
        </w:rPr>
        <w:t>İ</w:t>
      </w:r>
      <w:r w:rsidRPr="00953B9E">
        <w:rPr>
          <w:rFonts w:cs="Revue BT"/>
          <w:b/>
          <w:i w:val="0"/>
          <w:lang w:eastAsia="en-US"/>
        </w:rPr>
        <w:t>KASI</w:t>
      </w:r>
    </w:p>
    <w:p w:rsidR="00F20E11" w:rsidRPr="005F2631" w:rsidRDefault="00953B9E" w:rsidP="005D0304">
      <w:pPr>
        <w:pStyle w:val="BasicParagraph0"/>
        <w:spacing w:before="40" w:after="20" w:line="240" w:lineRule="auto"/>
        <w:ind w:firstLine="567"/>
        <w:jc w:val="right"/>
        <w:rPr>
          <w:rFonts w:asciiTheme="majorHAnsi" w:hAnsiTheme="majorHAnsi"/>
        </w:rPr>
      </w:pPr>
      <w:r w:rsidRPr="005F2631">
        <w:rPr>
          <w:rFonts w:asciiTheme="majorHAnsi" w:hAnsiTheme="majorHAnsi" w:cs="Arial"/>
          <w:b/>
        </w:rPr>
        <w:t>Genel Yönetim Kurulu</w:t>
      </w:r>
    </w:p>
    <w:sectPr w:rsidR="00F20E11" w:rsidRPr="005F2631"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10022FF" w:usb1="C000E47F" w:usb2="00000029" w:usb3="00000000" w:csb0="000001D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Garamond">
    <w:panose1 w:val="02020404030301010803"/>
    <w:charset w:val="A2"/>
    <w:family w:val="roman"/>
    <w:pitch w:val="variable"/>
    <w:sig w:usb0="00000287" w:usb1="00000000" w:usb2="00000000" w:usb3="00000000" w:csb0="0000009F"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1EA61EF"/>
    <w:multiLevelType w:val="hybridMultilevel"/>
    <w:tmpl w:val="57E20346"/>
    <w:lvl w:ilvl="0" w:tplc="EF5C2D62">
      <w:start w:val="12"/>
      <w:numFmt w:val="decimal"/>
      <w:lvlText w:val="%1"/>
      <w:lvlJc w:val="left"/>
      <w:pPr>
        <w:ind w:left="1080" w:hanging="360"/>
      </w:pPr>
      <w:rPr>
        <w:rFonts w:asciiTheme="majorHAnsi" w:eastAsia="Times New Roman" w:hAnsiTheme="majorHAnsi" w:hint="default"/>
        <w:b w:val="0"/>
        <w:sz w:val="2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7251197"/>
    <w:multiLevelType w:val="hybridMultilevel"/>
    <w:tmpl w:val="201E9D46"/>
    <w:lvl w:ilvl="0" w:tplc="576A04EC">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7"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1"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56442A2B"/>
    <w:multiLevelType w:val="hybridMultilevel"/>
    <w:tmpl w:val="E856EDD8"/>
    <w:lvl w:ilvl="0" w:tplc="041F0001">
      <w:start w:val="1"/>
      <w:numFmt w:val="bullet"/>
      <w:lvlText w:val=""/>
      <w:lvlJc w:val="left"/>
      <w:pPr>
        <w:ind w:left="1920" w:hanging="360"/>
      </w:pPr>
      <w:rPr>
        <w:rFonts w:ascii="Symbol" w:hAnsi="Symbol" w:hint="default"/>
      </w:rPr>
    </w:lvl>
    <w:lvl w:ilvl="1" w:tplc="041F0003" w:tentative="1">
      <w:start w:val="1"/>
      <w:numFmt w:val="bullet"/>
      <w:lvlText w:val="o"/>
      <w:lvlJc w:val="left"/>
      <w:pPr>
        <w:ind w:left="2640" w:hanging="360"/>
      </w:pPr>
      <w:rPr>
        <w:rFonts w:ascii="Courier New" w:hAnsi="Courier New" w:cs="Courier New" w:hint="default"/>
      </w:rPr>
    </w:lvl>
    <w:lvl w:ilvl="2" w:tplc="041F0005" w:tentative="1">
      <w:start w:val="1"/>
      <w:numFmt w:val="bullet"/>
      <w:lvlText w:val=""/>
      <w:lvlJc w:val="left"/>
      <w:pPr>
        <w:ind w:left="3360" w:hanging="360"/>
      </w:pPr>
      <w:rPr>
        <w:rFonts w:ascii="Wingdings" w:hAnsi="Wingdings" w:hint="default"/>
      </w:rPr>
    </w:lvl>
    <w:lvl w:ilvl="3" w:tplc="041F0001" w:tentative="1">
      <w:start w:val="1"/>
      <w:numFmt w:val="bullet"/>
      <w:lvlText w:val=""/>
      <w:lvlJc w:val="left"/>
      <w:pPr>
        <w:ind w:left="4080" w:hanging="360"/>
      </w:pPr>
      <w:rPr>
        <w:rFonts w:ascii="Symbol" w:hAnsi="Symbol" w:hint="default"/>
      </w:rPr>
    </w:lvl>
    <w:lvl w:ilvl="4" w:tplc="041F0003" w:tentative="1">
      <w:start w:val="1"/>
      <w:numFmt w:val="bullet"/>
      <w:lvlText w:val="o"/>
      <w:lvlJc w:val="left"/>
      <w:pPr>
        <w:ind w:left="4800" w:hanging="360"/>
      </w:pPr>
      <w:rPr>
        <w:rFonts w:ascii="Courier New" w:hAnsi="Courier New" w:cs="Courier New" w:hint="default"/>
      </w:rPr>
    </w:lvl>
    <w:lvl w:ilvl="5" w:tplc="041F0005" w:tentative="1">
      <w:start w:val="1"/>
      <w:numFmt w:val="bullet"/>
      <w:lvlText w:val=""/>
      <w:lvlJc w:val="left"/>
      <w:pPr>
        <w:ind w:left="5520" w:hanging="360"/>
      </w:pPr>
      <w:rPr>
        <w:rFonts w:ascii="Wingdings" w:hAnsi="Wingdings" w:hint="default"/>
      </w:rPr>
    </w:lvl>
    <w:lvl w:ilvl="6" w:tplc="041F0001" w:tentative="1">
      <w:start w:val="1"/>
      <w:numFmt w:val="bullet"/>
      <w:lvlText w:val=""/>
      <w:lvlJc w:val="left"/>
      <w:pPr>
        <w:ind w:left="6240" w:hanging="360"/>
      </w:pPr>
      <w:rPr>
        <w:rFonts w:ascii="Symbol" w:hAnsi="Symbol" w:hint="default"/>
      </w:rPr>
    </w:lvl>
    <w:lvl w:ilvl="7" w:tplc="041F0003" w:tentative="1">
      <w:start w:val="1"/>
      <w:numFmt w:val="bullet"/>
      <w:lvlText w:val="o"/>
      <w:lvlJc w:val="left"/>
      <w:pPr>
        <w:ind w:left="6960" w:hanging="360"/>
      </w:pPr>
      <w:rPr>
        <w:rFonts w:ascii="Courier New" w:hAnsi="Courier New" w:cs="Courier New" w:hint="default"/>
      </w:rPr>
    </w:lvl>
    <w:lvl w:ilvl="8" w:tplc="041F0005" w:tentative="1">
      <w:start w:val="1"/>
      <w:numFmt w:val="bullet"/>
      <w:lvlText w:val=""/>
      <w:lvlJc w:val="left"/>
      <w:pPr>
        <w:ind w:left="7680" w:hanging="360"/>
      </w:pPr>
      <w:rPr>
        <w:rFonts w:ascii="Wingdings" w:hAnsi="Wingdings" w:hint="default"/>
      </w:rPr>
    </w:lvl>
  </w:abstractNum>
  <w:abstractNum w:abstractNumId="14"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8A85186"/>
    <w:multiLevelType w:val="hybridMultilevel"/>
    <w:tmpl w:val="01C07D18"/>
    <w:lvl w:ilvl="0" w:tplc="041F0001">
      <w:start w:val="1"/>
      <w:numFmt w:val="bullet"/>
      <w:lvlText w:val=""/>
      <w:lvlJc w:val="left"/>
      <w:pPr>
        <w:ind w:left="1287" w:hanging="360"/>
      </w:pPr>
      <w:rPr>
        <w:rFonts w:ascii="Symbol" w:hAnsi="Symbol" w:hint="default"/>
      </w:rPr>
    </w:lvl>
    <w:lvl w:ilvl="1" w:tplc="7CB48224">
      <w:numFmt w:val="bullet"/>
      <w:lvlText w:val="•"/>
      <w:lvlJc w:val="left"/>
      <w:pPr>
        <w:ind w:left="2007" w:hanging="360"/>
      </w:pPr>
      <w:rPr>
        <w:rFonts w:ascii="Arial Narrow" w:eastAsia="Times New Roman" w:hAnsi="Arial Narrow" w:cs="Times New Roman" w:hint="default"/>
        <w:b/>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15:restartNumberingAfterBreak="0">
    <w:nsid w:val="6D43671E"/>
    <w:multiLevelType w:val="hybridMultilevel"/>
    <w:tmpl w:val="809C5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8"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743B4663"/>
    <w:multiLevelType w:val="hybridMultilevel"/>
    <w:tmpl w:val="FE76AA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8"/>
  </w:num>
  <w:num w:numId="4">
    <w:abstractNumId w:val="17"/>
  </w:num>
  <w:num w:numId="5">
    <w:abstractNumId w:val="14"/>
  </w:num>
  <w:num w:numId="6">
    <w:abstractNumId w:val="0"/>
  </w:num>
  <w:num w:numId="7">
    <w:abstractNumId w:val="7"/>
  </w:num>
  <w:num w:numId="8">
    <w:abstractNumId w:val="9"/>
  </w:num>
  <w:num w:numId="9">
    <w:abstractNumId w:val="18"/>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4"/>
  </w:num>
  <w:num w:numId="17">
    <w:abstractNumId w:val="10"/>
  </w:num>
  <w:num w:numId="18">
    <w:abstractNumId w:val="16"/>
  </w:num>
  <w:num w:numId="19">
    <w:abstractNumId w:val="15"/>
  </w:num>
  <w:num w:numId="20">
    <w:abstractNumId w:val="5"/>
  </w:num>
  <w:num w:numId="21">
    <w:abstractNumId w:val="3"/>
  </w:num>
  <w:num w:numId="22">
    <w:abstractNumId w:val="13"/>
  </w:num>
  <w:num w:numId="23">
    <w:abstractNumId w:val="1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10A4"/>
    <w:rsid w:val="00005CAA"/>
    <w:rsid w:val="00006F68"/>
    <w:rsid w:val="00015C1C"/>
    <w:rsid w:val="00017C81"/>
    <w:rsid w:val="00023D18"/>
    <w:rsid w:val="00035EF6"/>
    <w:rsid w:val="000435F1"/>
    <w:rsid w:val="00054FDB"/>
    <w:rsid w:val="0005581B"/>
    <w:rsid w:val="00060A25"/>
    <w:rsid w:val="0006161E"/>
    <w:rsid w:val="000836FD"/>
    <w:rsid w:val="00086C96"/>
    <w:rsid w:val="00091618"/>
    <w:rsid w:val="00096E88"/>
    <w:rsid w:val="000A2786"/>
    <w:rsid w:val="000A3B52"/>
    <w:rsid w:val="000A6C46"/>
    <w:rsid w:val="000D348A"/>
    <w:rsid w:val="000D3C19"/>
    <w:rsid w:val="000D54B5"/>
    <w:rsid w:val="000D56B5"/>
    <w:rsid w:val="000D56E9"/>
    <w:rsid w:val="00114AD3"/>
    <w:rsid w:val="00132346"/>
    <w:rsid w:val="001339D5"/>
    <w:rsid w:val="0015189D"/>
    <w:rsid w:val="0016484A"/>
    <w:rsid w:val="00164DCF"/>
    <w:rsid w:val="00170BD8"/>
    <w:rsid w:val="0018037A"/>
    <w:rsid w:val="00196C01"/>
    <w:rsid w:val="001A324E"/>
    <w:rsid w:val="001A6BCD"/>
    <w:rsid w:val="001C22E1"/>
    <w:rsid w:val="001D3EDA"/>
    <w:rsid w:val="001D6903"/>
    <w:rsid w:val="001E44F9"/>
    <w:rsid w:val="001E77A2"/>
    <w:rsid w:val="001F666D"/>
    <w:rsid w:val="00202CB4"/>
    <w:rsid w:val="002030FC"/>
    <w:rsid w:val="00203A77"/>
    <w:rsid w:val="002136E5"/>
    <w:rsid w:val="002160C2"/>
    <w:rsid w:val="00216239"/>
    <w:rsid w:val="00230F0D"/>
    <w:rsid w:val="002407C4"/>
    <w:rsid w:val="00241F53"/>
    <w:rsid w:val="002503DE"/>
    <w:rsid w:val="00252046"/>
    <w:rsid w:val="002615B9"/>
    <w:rsid w:val="002615E0"/>
    <w:rsid w:val="002637DC"/>
    <w:rsid w:val="00265AC8"/>
    <w:rsid w:val="00272659"/>
    <w:rsid w:val="00274427"/>
    <w:rsid w:val="0028022B"/>
    <w:rsid w:val="0028189C"/>
    <w:rsid w:val="00284A66"/>
    <w:rsid w:val="002B0D17"/>
    <w:rsid w:val="002B2409"/>
    <w:rsid w:val="002B5FE0"/>
    <w:rsid w:val="002C0D0A"/>
    <w:rsid w:val="002C3950"/>
    <w:rsid w:val="002C5C51"/>
    <w:rsid w:val="002D19EC"/>
    <w:rsid w:val="002D1ED7"/>
    <w:rsid w:val="002E5BE9"/>
    <w:rsid w:val="002E7263"/>
    <w:rsid w:val="002F3F3A"/>
    <w:rsid w:val="0031044E"/>
    <w:rsid w:val="0031119C"/>
    <w:rsid w:val="00311CBD"/>
    <w:rsid w:val="0031311A"/>
    <w:rsid w:val="00314536"/>
    <w:rsid w:val="00321121"/>
    <w:rsid w:val="003346EE"/>
    <w:rsid w:val="00335A76"/>
    <w:rsid w:val="003370DB"/>
    <w:rsid w:val="00341605"/>
    <w:rsid w:val="00344814"/>
    <w:rsid w:val="003657EB"/>
    <w:rsid w:val="003730CD"/>
    <w:rsid w:val="003808FF"/>
    <w:rsid w:val="00381C50"/>
    <w:rsid w:val="00390317"/>
    <w:rsid w:val="00393557"/>
    <w:rsid w:val="00395BC8"/>
    <w:rsid w:val="003A38F3"/>
    <w:rsid w:val="003A552A"/>
    <w:rsid w:val="003B0A88"/>
    <w:rsid w:val="003B2949"/>
    <w:rsid w:val="003B64E0"/>
    <w:rsid w:val="003C1215"/>
    <w:rsid w:val="003C28A9"/>
    <w:rsid w:val="003C3393"/>
    <w:rsid w:val="003D0B97"/>
    <w:rsid w:val="003E3242"/>
    <w:rsid w:val="003E443F"/>
    <w:rsid w:val="003E62BE"/>
    <w:rsid w:val="003F2A33"/>
    <w:rsid w:val="003F4733"/>
    <w:rsid w:val="00403BF0"/>
    <w:rsid w:val="004046F3"/>
    <w:rsid w:val="004151D6"/>
    <w:rsid w:val="00416032"/>
    <w:rsid w:val="00417DA6"/>
    <w:rsid w:val="0044183C"/>
    <w:rsid w:val="004436B3"/>
    <w:rsid w:val="00444601"/>
    <w:rsid w:val="004518B2"/>
    <w:rsid w:val="004538D8"/>
    <w:rsid w:val="00462097"/>
    <w:rsid w:val="00465623"/>
    <w:rsid w:val="00466876"/>
    <w:rsid w:val="00476AE2"/>
    <w:rsid w:val="004833FB"/>
    <w:rsid w:val="00484FD3"/>
    <w:rsid w:val="00492C98"/>
    <w:rsid w:val="00492CC1"/>
    <w:rsid w:val="00496E65"/>
    <w:rsid w:val="00497A55"/>
    <w:rsid w:val="004B598D"/>
    <w:rsid w:val="004C2F5C"/>
    <w:rsid w:val="004C3CFB"/>
    <w:rsid w:val="004C46F3"/>
    <w:rsid w:val="004D180E"/>
    <w:rsid w:val="004D34BB"/>
    <w:rsid w:val="004E088B"/>
    <w:rsid w:val="004F111B"/>
    <w:rsid w:val="004F5B42"/>
    <w:rsid w:val="005019E8"/>
    <w:rsid w:val="005134AD"/>
    <w:rsid w:val="0051441A"/>
    <w:rsid w:val="00521115"/>
    <w:rsid w:val="00524D59"/>
    <w:rsid w:val="005309ED"/>
    <w:rsid w:val="00536EF3"/>
    <w:rsid w:val="00547B9D"/>
    <w:rsid w:val="0056000D"/>
    <w:rsid w:val="00560C5F"/>
    <w:rsid w:val="00560FF9"/>
    <w:rsid w:val="00571C0D"/>
    <w:rsid w:val="00573DC0"/>
    <w:rsid w:val="00583CF6"/>
    <w:rsid w:val="005843A4"/>
    <w:rsid w:val="005B363E"/>
    <w:rsid w:val="005D0304"/>
    <w:rsid w:val="005F2631"/>
    <w:rsid w:val="005F4D01"/>
    <w:rsid w:val="005F553C"/>
    <w:rsid w:val="005F64A6"/>
    <w:rsid w:val="005F6D13"/>
    <w:rsid w:val="00613254"/>
    <w:rsid w:val="00616B5F"/>
    <w:rsid w:val="006262C1"/>
    <w:rsid w:val="0062695E"/>
    <w:rsid w:val="00631AE8"/>
    <w:rsid w:val="00635561"/>
    <w:rsid w:val="00636AD8"/>
    <w:rsid w:val="00641B3C"/>
    <w:rsid w:val="00647839"/>
    <w:rsid w:val="0066454F"/>
    <w:rsid w:val="00665685"/>
    <w:rsid w:val="0067487F"/>
    <w:rsid w:val="006756EC"/>
    <w:rsid w:val="00684E1C"/>
    <w:rsid w:val="00694DDB"/>
    <w:rsid w:val="006B359D"/>
    <w:rsid w:val="006B3645"/>
    <w:rsid w:val="006C2E74"/>
    <w:rsid w:val="006C5B3F"/>
    <w:rsid w:val="006C6592"/>
    <w:rsid w:val="006C74FD"/>
    <w:rsid w:val="006E0F2C"/>
    <w:rsid w:val="006E6D46"/>
    <w:rsid w:val="006F2201"/>
    <w:rsid w:val="006F5A8E"/>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6199D"/>
    <w:rsid w:val="007819F3"/>
    <w:rsid w:val="00783170"/>
    <w:rsid w:val="00793FB7"/>
    <w:rsid w:val="007975FA"/>
    <w:rsid w:val="007A33A2"/>
    <w:rsid w:val="007B360D"/>
    <w:rsid w:val="007C37EB"/>
    <w:rsid w:val="007C6D02"/>
    <w:rsid w:val="007C7FE2"/>
    <w:rsid w:val="007E1C2E"/>
    <w:rsid w:val="007E6C1A"/>
    <w:rsid w:val="007F1028"/>
    <w:rsid w:val="007F4117"/>
    <w:rsid w:val="008022DC"/>
    <w:rsid w:val="0080586B"/>
    <w:rsid w:val="00815A4E"/>
    <w:rsid w:val="00826195"/>
    <w:rsid w:val="008331A6"/>
    <w:rsid w:val="00874B60"/>
    <w:rsid w:val="0088474B"/>
    <w:rsid w:val="00884905"/>
    <w:rsid w:val="008979A4"/>
    <w:rsid w:val="00897B20"/>
    <w:rsid w:val="008A508F"/>
    <w:rsid w:val="008A6420"/>
    <w:rsid w:val="008A6BCC"/>
    <w:rsid w:val="008B05B5"/>
    <w:rsid w:val="008B78B8"/>
    <w:rsid w:val="008D32D9"/>
    <w:rsid w:val="008E2533"/>
    <w:rsid w:val="008F1E70"/>
    <w:rsid w:val="00911198"/>
    <w:rsid w:val="0091585E"/>
    <w:rsid w:val="00915A92"/>
    <w:rsid w:val="0092001C"/>
    <w:rsid w:val="00920903"/>
    <w:rsid w:val="00934479"/>
    <w:rsid w:val="0093747B"/>
    <w:rsid w:val="009423F5"/>
    <w:rsid w:val="00942825"/>
    <w:rsid w:val="00951D3A"/>
    <w:rsid w:val="00953B9E"/>
    <w:rsid w:val="00956A33"/>
    <w:rsid w:val="00967924"/>
    <w:rsid w:val="00970A06"/>
    <w:rsid w:val="00976AC7"/>
    <w:rsid w:val="009831E2"/>
    <w:rsid w:val="00983F9D"/>
    <w:rsid w:val="00986C4E"/>
    <w:rsid w:val="00995002"/>
    <w:rsid w:val="009A117B"/>
    <w:rsid w:val="009A5BD0"/>
    <w:rsid w:val="009A764B"/>
    <w:rsid w:val="009C0C85"/>
    <w:rsid w:val="009C2561"/>
    <w:rsid w:val="009E034F"/>
    <w:rsid w:val="009E11A1"/>
    <w:rsid w:val="009E5348"/>
    <w:rsid w:val="009F0603"/>
    <w:rsid w:val="009F1DF3"/>
    <w:rsid w:val="00A10313"/>
    <w:rsid w:val="00A12AAD"/>
    <w:rsid w:val="00A14053"/>
    <w:rsid w:val="00A1703B"/>
    <w:rsid w:val="00A5368A"/>
    <w:rsid w:val="00A54A80"/>
    <w:rsid w:val="00A55DC1"/>
    <w:rsid w:val="00A5693D"/>
    <w:rsid w:val="00A5775B"/>
    <w:rsid w:val="00A57AA7"/>
    <w:rsid w:val="00A65D39"/>
    <w:rsid w:val="00A67A44"/>
    <w:rsid w:val="00A76DEE"/>
    <w:rsid w:val="00A80143"/>
    <w:rsid w:val="00A834E2"/>
    <w:rsid w:val="00A94368"/>
    <w:rsid w:val="00AA7117"/>
    <w:rsid w:val="00AC404E"/>
    <w:rsid w:val="00AD6D0E"/>
    <w:rsid w:val="00AE108A"/>
    <w:rsid w:val="00AE7E3D"/>
    <w:rsid w:val="00B01270"/>
    <w:rsid w:val="00B04F14"/>
    <w:rsid w:val="00B05F24"/>
    <w:rsid w:val="00B1020B"/>
    <w:rsid w:val="00B25776"/>
    <w:rsid w:val="00B30785"/>
    <w:rsid w:val="00B320D8"/>
    <w:rsid w:val="00B448E6"/>
    <w:rsid w:val="00B44F5B"/>
    <w:rsid w:val="00B52581"/>
    <w:rsid w:val="00B54156"/>
    <w:rsid w:val="00B55F17"/>
    <w:rsid w:val="00B61DCD"/>
    <w:rsid w:val="00B77171"/>
    <w:rsid w:val="00B822B5"/>
    <w:rsid w:val="00B82F9B"/>
    <w:rsid w:val="00B836EB"/>
    <w:rsid w:val="00BB0121"/>
    <w:rsid w:val="00BB0208"/>
    <w:rsid w:val="00BB71F4"/>
    <w:rsid w:val="00BC19CF"/>
    <w:rsid w:val="00BC3611"/>
    <w:rsid w:val="00BD19F0"/>
    <w:rsid w:val="00BD5B11"/>
    <w:rsid w:val="00BD62F5"/>
    <w:rsid w:val="00BD6A01"/>
    <w:rsid w:val="00BE0EB1"/>
    <w:rsid w:val="00BE6D99"/>
    <w:rsid w:val="00C002DD"/>
    <w:rsid w:val="00C02CA5"/>
    <w:rsid w:val="00C035C1"/>
    <w:rsid w:val="00C042E4"/>
    <w:rsid w:val="00C048B6"/>
    <w:rsid w:val="00C138D6"/>
    <w:rsid w:val="00C1557C"/>
    <w:rsid w:val="00C2701A"/>
    <w:rsid w:val="00C40D67"/>
    <w:rsid w:val="00C4269E"/>
    <w:rsid w:val="00C448B8"/>
    <w:rsid w:val="00C60016"/>
    <w:rsid w:val="00C71762"/>
    <w:rsid w:val="00C71E63"/>
    <w:rsid w:val="00C83C16"/>
    <w:rsid w:val="00C92532"/>
    <w:rsid w:val="00CC0DE4"/>
    <w:rsid w:val="00CD20DD"/>
    <w:rsid w:val="00CD2E6B"/>
    <w:rsid w:val="00CD3C8E"/>
    <w:rsid w:val="00CE36C3"/>
    <w:rsid w:val="00CF64F2"/>
    <w:rsid w:val="00CF6EBB"/>
    <w:rsid w:val="00D0733F"/>
    <w:rsid w:val="00D14147"/>
    <w:rsid w:val="00D35EFD"/>
    <w:rsid w:val="00D37095"/>
    <w:rsid w:val="00D42655"/>
    <w:rsid w:val="00D42669"/>
    <w:rsid w:val="00D4272C"/>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9D5"/>
    <w:rsid w:val="00DA0A03"/>
    <w:rsid w:val="00DB1F5F"/>
    <w:rsid w:val="00DC2F17"/>
    <w:rsid w:val="00DD0E6F"/>
    <w:rsid w:val="00DD6BB5"/>
    <w:rsid w:val="00DF2F33"/>
    <w:rsid w:val="00DF5B77"/>
    <w:rsid w:val="00E04C7C"/>
    <w:rsid w:val="00E07047"/>
    <w:rsid w:val="00E23C54"/>
    <w:rsid w:val="00E30D77"/>
    <w:rsid w:val="00E32262"/>
    <w:rsid w:val="00E341C0"/>
    <w:rsid w:val="00E4170C"/>
    <w:rsid w:val="00E50BF2"/>
    <w:rsid w:val="00E613B8"/>
    <w:rsid w:val="00E64069"/>
    <w:rsid w:val="00E83AC5"/>
    <w:rsid w:val="00E90CE5"/>
    <w:rsid w:val="00E940A8"/>
    <w:rsid w:val="00E97808"/>
    <w:rsid w:val="00EB33D4"/>
    <w:rsid w:val="00EB4CDB"/>
    <w:rsid w:val="00EB67A6"/>
    <w:rsid w:val="00EC13D9"/>
    <w:rsid w:val="00EC378A"/>
    <w:rsid w:val="00ED4049"/>
    <w:rsid w:val="00ED74CB"/>
    <w:rsid w:val="00EE3DE9"/>
    <w:rsid w:val="00EE6535"/>
    <w:rsid w:val="00EF1FC3"/>
    <w:rsid w:val="00F01B8D"/>
    <w:rsid w:val="00F0720F"/>
    <w:rsid w:val="00F11733"/>
    <w:rsid w:val="00F1256E"/>
    <w:rsid w:val="00F13849"/>
    <w:rsid w:val="00F20E11"/>
    <w:rsid w:val="00F21BF7"/>
    <w:rsid w:val="00F21D10"/>
    <w:rsid w:val="00F30BDA"/>
    <w:rsid w:val="00F37C37"/>
    <w:rsid w:val="00F400D8"/>
    <w:rsid w:val="00F57296"/>
    <w:rsid w:val="00F72910"/>
    <w:rsid w:val="00F83692"/>
    <w:rsid w:val="00F878BD"/>
    <w:rsid w:val="00FA1CEB"/>
    <w:rsid w:val="00FB0697"/>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6E0DA-D51D-41D3-B15C-5765E45B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916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16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16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uiPriority w:val="99"/>
    <w:rsid w:val="0092001C"/>
    <w:pPr>
      <w:spacing w:before="100" w:beforeAutospacing="1" w:after="100" w:afterAutospacing="1" w:line="240" w:lineRule="auto"/>
    </w:pPr>
    <w:rPr>
      <w:rFonts w:ascii="Times New Roman" w:eastAsia="Times New Roman" w:hAnsi="Times New Roman"/>
      <w:sz w:val="24"/>
      <w:szCs w:val="24"/>
      <w:lang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 w:type="paragraph" w:customStyle="1" w:styleId="TemelParagraf">
    <w:name w:val="[Temel Paragraf]"/>
    <w:basedOn w:val="Normal"/>
    <w:uiPriority w:val="99"/>
    <w:rsid w:val="008B78B8"/>
    <w:pPr>
      <w:autoSpaceDE w:val="0"/>
      <w:autoSpaceDN w:val="0"/>
      <w:adjustRightInd w:val="0"/>
      <w:spacing w:after="0" w:line="288" w:lineRule="auto"/>
      <w:textAlignment w:val="center"/>
    </w:pPr>
    <w:rPr>
      <w:rFonts w:ascii="Times New Roman" w:eastAsiaTheme="minorHAnsi" w:hAnsi="Times New Roman"/>
      <w:color w:val="000000"/>
      <w:sz w:val="24"/>
      <w:szCs w:val="24"/>
      <w:lang w:bidi="ar-SA"/>
    </w:rPr>
  </w:style>
  <w:style w:type="character" w:customStyle="1" w:styleId="mesaj">
    <w:name w:val="mesaj"/>
    <w:uiPriority w:val="99"/>
    <w:rsid w:val="008B78B8"/>
    <w:rPr>
      <w:rFonts w:ascii="Monotype Corsiva" w:hAnsi="Monotype Corsiva" w:cs="Monotype Corsiva"/>
      <w:sz w:val="32"/>
      <w:szCs w:val="32"/>
      <w:lang w:val="tr-TR"/>
    </w:rPr>
  </w:style>
  <w:style w:type="character" w:customStyle="1" w:styleId="Balk2Char">
    <w:name w:val="Başlık 2 Char"/>
    <w:basedOn w:val="VarsaylanParagrafYazTipi"/>
    <w:link w:val="Balk2"/>
    <w:uiPriority w:val="9"/>
    <w:rsid w:val="00091618"/>
    <w:rPr>
      <w:rFonts w:asciiTheme="majorHAnsi" w:eastAsiaTheme="majorEastAsia" w:hAnsiTheme="majorHAnsi" w:cstheme="majorBidi"/>
      <w:color w:val="365F91" w:themeColor="accent1" w:themeShade="BF"/>
      <w:sz w:val="26"/>
      <w:szCs w:val="26"/>
      <w:lang w:val="en-US" w:bidi="en-US"/>
    </w:rPr>
  </w:style>
  <w:style w:type="character" w:customStyle="1" w:styleId="Balk3Char">
    <w:name w:val="Başlık 3 Char"/>
    <w:basedOn w:val="VarsaylanParagrafYazTipi"/>
    <w:link w:val="Balk3"/>
    <w:uiPriority w:val="9"/>
    <w:rsid w:val="00091618"/>
    <w:rPr>
      <w:rFonts w:asciiTheme="majorHAnsi" w:eastAsiaTheme="majorEastAsia" w:hAnsiTheme="majorHAnsi" w:cstheme="majorBidi"/>
      <w:color w:val="243F60" w:themeColor="accent1" w:themeShade="7F"/>
      <w:sz w:val="24"/>
      <w:szCs w:val="24"/>
      <w:lang w:val="en-US" w:bidi="en-US"/>
    </w:rPr>
  </w:style>
  <w:style w:type="character" w:customStyle="1" w:styleId="Balk4Char">
    <w:name w:val="Başlık 4 Char"/>
    <w:basedOn w:val="VarsaylanParagrafYazTipi"/>
    <w:link w:val="Balk4"/>
    <w:uiPriority w:val="9"/>
    <w:rsid w:val="00091618"/>
    <w:rPr>
      <w:rFonts w:asciiTheme="majorHAnsi" w:eastAsiaTheme="majorEastAsia" w:hAnsiTheme="majorHAnsi" w:cstheme="majorBidi"/>
      <w:i/>
      <w:iCs/>
      <w:color w:val="365F91" w:themeColor="accent1" w:themeShade="BF"/>
      <w:lang w:val="en-US" w:bidi="en-US"/>
    </w:rPr>
  </w:style>
  <w:style w:type="paragraph" w:styleId="AralkYok">
    <w:name w:val="No Spacing"/>
    <w:uiPriority w:val="1"/>
    <w:qFormat/>
    <w:rsid w:val="00091618"/>
    <w:pPr>
      <w:spacing w:after="0" w:line="240" w:lineRule="auto"/>
    </w:pPr>
    <w:rPr>
      <w:rFonts w:ascii="Cambria" w:eastAsia="Calibri" w:hAnsi="Cambria" w:cs="Times New Roman"/>
      <w:lang w:val="en-US" w:bidi="en-US"/>
    </w:rPr>
  </w:style>
  <w:style w:type="paragraph" w:customStyle="1" w:styleId="BasicParagraph0">
    <w:name w:val="[Basic Paragraph]"/>
    <w:basedOn w:val="Normal"/>
    <w:uiPriority w:val="99"/>
    <w:rsid w:val="00953B9E"/>
    <w:pPr>
      <w:autoSpaceDE w:val="0"/>
      <w:autoSpaceDN w:val="0"/>
      <w:adjustRightInd w:val="0"/>
      <w:spacing w:after="0" w:line="288" w:lineRule="auto"/>
    </w:pPr>
    <w:rPr>
      <w:rFonts w:ascii="Times New Roman" w:hAnsi="Times New Roman"/>
      <w:color w:val="000000"/>
      <w:sz w:val="24"/>
      <w:szCs w:val="24"/>
      <w:lang w:eastAsia="tr-TR" w:bidi="ar-SA"/>
    </w:rPr>
  </w:style>
  <w:style w:type="table" w:styleId="TabloKlavuzu">
    <w:name w:val="Table Grid"/>
    <w:basedOn w:val="NormalTablo"/>
    <w:uiPriority w:val="39"/>
    <w:rsid w:val="004668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09054070">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44712">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761879179">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17648832">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288005945">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773893270">
      <w:bodyDiv w:val="1"/>
      <w:marLeft w:val="0"/>
      <w:marRight w:val="0"/>
      <w:marTop w:val="0"/>
      <w:marBottom w:val="0"/>
      <w:divBdr>
        <w:top w:val="none" w:sz="0" w:space="0" w:color="auto"/>
        <w:left w:val="none" w:sz="0" w:space="0" w:color="auto"/>
        <w:bottom w:val="none" w:sz="0" w:space="0" w:color="auto"/>
        <w:right w:val="none" w:sz="0" w:space="0" w:color="auto"/>
      </w:divBdr>
    </w:div>
    <w:div w:id="1817914558">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benerci75\Downloads\gruplaragorealimgucukaybi.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Sayfa1!$F$1</c:f>
              <c:strCache>
                <c:ptCount val="1"/>
                <c:pt idx="0">
                  <c:v>Yoksullaşma Oranı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Sayfa1!$E$2:$E$11</c:f>
              <c:strCache>
                <c:ptCount val="10"/>
                <c:pt idx="0">
                  <c:v>Kira</c:v>
                </c:pt>
                <c:pt idx="1">
                  <c:v>Eğitim</c:v>
                </c:pt>
                <c:pt idx="2">
                  <c:v>Temel hastane hizmetleri</c:v>
                </c:pt>
                <c:pt idx="3">
                  <c:v>Genel</c:v>
                </c:pt>
                <c:pt idx="4">
                  <c:v>Et</c:v>
                </c:pt>
                <c:pt idx="5">
                  <c:v>Katı ve sıvı yağlar</c:v>
                </c:pt>
                <c:pt idx="6">
                  <c:v>Ulaştırmada</c:v>
                </c:pt>
                <c:pt idx="7">
                  <c:v>Süt ve peynir, yumurta</c:v>
                </c:pt>
                <c:pt idx="8">
                  <c:v>Meyveler</c:v>
                </c:pt>
                <c:pt idx="9">
                  <c:v>Balık</c:v>
                </c:pt>
              </c:strCache>
            </c:strRef>
          </c:cat>
          <c:val>
            <c:numRef>
              <c:f>Sayfa1!$F$2:$F$11</c:f>
              <c:numCache>
                <c:formatCode>0.0%</c:formatCode>
                <c:ptCount val="10"/>
                <c:pt idx="0">
                  <c:v>1.33114601295614E-2</c:v>
                </c:pt>
                <c:pt idx="1">
                  <c:v>2.6044502052279001E-2</c:v>
                </c:pt>
                <c:pt idx="2">
                  <c:v>3.2718403264889603E-2</c:v>
                </c:pt>
                <c:pt idx="3">
                  <c:v>3.8417353308364502E-2</c:v>
                </c:pt>
                <c:pt idx="4">
                  <c:v>4.2409209021931002E-2</c:v>
                </c:pt>
                <c:pt idx="5">
                  <c:v>6.5644633680810402E-2</c:v>
                </c:pt>
                <c:pt idx="6">
                  <c:v>7.8724761027660295E-2</c:v>
                </c:pt>
                <c:pt idx="7">
                  <c:v>8.5999999999999993E-2</c:v>
                </c:pt>
                <c:pt idx="8">
                  <c:v>0.122069983868966</c:v>
                </c:pt>
                <c:pt idx="9">
                  <c:v>0.15009017409265299</c:v>
                </c:pt>
              </c:numCache>
            </c:numRef>
          </c:val>
        </c:ser>
        <c:dLbls>
          <c:showLegendKey val="0"/>
          <c:showVal val="0"/>
          <c:showCatName val="0"/>
          <c:showSerName val="0"/>
          <c:showPercent val="0"/>
          <c:showBubbleSize val="0"/>
        </c:dLbls>
        <c:gapWidth val="219"/>
        <c:overlap val="-27"/>
        <c:axId val="294938328"/>
        <c:axId val="294938720"/>
      </c:barChart>
      <c:catAx>
        <c:axId val="294938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94938720"/>
        <c:crosses val="autoZero"/>
        <c:auto val="1"/>
        <c:lblAlgn val="ctr"/>
        <c:lblOffset val="100"/>
        <c:noMultiLvlLbl val="0"/>
      </c:catAx>
      <c:valAx>
        <c:axId val="294938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94938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730BD-4530-427F-B67F-63CDBD85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1666</Words>
  <Characters>9497</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canan</cp:lastModifiedBy>
  <cp:revision>6</cp:revision>
  <cp:lastPrinted>2017-10-26T09:34:00Z</cp:lastPrinted>
  <dcterms:created xsi:type="dcterms:W3CDTF">2017-11-03T11:03:00Z</dcterms:created>
  <dcterms:modified xsi:type="dcterms:W3CDTF">2017-11-03T11:13:00Z</dcterms:modified>
</cp:coreProperties>
</file>