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361CA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DC71FF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9140EC">
        <w:rPr>
          <w:rFonts w:ascii="Times New Roman" w:hAnsi="Times New Roman"/>
          <w:b/>
          <w:sz w:val="20"/>
          <w:szCs w:val="20"/>
          <w:lang w:val="tr-TR"/>
        </w:rPr>
        <w:t>01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9140EC">
        <w:rPr>
          <w:rFonts w:ascii="Times New Roman" w:hAnsi="Times New Roman"/>
          <w:b/>
          <w:sz w:val="20"/>
          <w:szCs w:val="20"/>
          <w:lang w:val="tr-TR"/>
        </w:rPr>
        <w:t>12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9140EC" w:rsidRPr="009140EC" w:rsidRDefault="009140EC" w:rsidP="009140EC">
      <w:pPr>
        <w:spacing w:before="120" w:after="120" w:line="240" w:lineRule="auto"/>
        <w:ind w:left="567"/>
        <w:jc w:val="center"/>
        <w:rPr>
          <w:rFonts w:ascii="Arial Black" w:hAnsi="Arial Black"/>
          <w:b/>
          <w:bCs/>
          <w:color w:val="000000" w:themeColor="text1"/>
          <w:sz w:val="28"/>
          <w:szCs w:val="28"/>
          <w:lang w:val="tr-TR"/>
        </w:rPr>
      </w:pPr>
      <w:r w:rsidRPr="009140EC">
        <w:rPr>
          <w:rFonts w:ascii="Arial Black" w:hAnsi="Arial Black"/>
          <w:b/>
          <w:bCs/>
          <w:color w:val="000000" w:themeColor="text1"/>
          <w:sz w:val="28"/>
          <w:szCs w:val="28"/>
        </w:rPr>
        <w:t>MESS’LE UYUŞMAZLIK TUTULDU!</w:t>
      </w:r>
    </w:p>
    <w:p w:rsidR="009140EC" w:rsidRDefault="009140EC" w:rsidP="00DC71FF">
      <w:pPr>
        <w:spacing w:before="120" w:after="120" w:line="240" w:lineRule="auto"/>
        <w:ind w:left="567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Metal </w:t>
      </w:r>
      <w:proofErr w:type="spellStart"/>
      <w:r>
        <w:rPr>
          <w:rFonts w:eastAsia="Times New Roman"/>
          <w:b/>
          <w:color w:val="000000" w:themeColor="text1"/>
        </w:rPr>
        <w:t>işçileri</w:t>
      </w:r>
      <w:proofErr w:type="spellEnd"/>
      <w:r>
        <w:rPr>
          <w:rFonts w:eastAsia="Times New Roman"/>
          <w:b/>
          <w:color w:val="000000" w:themeColor="text1"/>
        </w:rPr>
        <w:t xml:space="preserve">, </w:t>
      </w:r>
      <w:proofErr w:type="spellStart"/>
      <w:r>
        <w:rPr>
          <w:rFonts w:eastAsia="Times New Roman"/>
          <w:b/>
          <w:color w:val="000000" w:themeColor="text1"/>
        </w:rPr>
        <w:t>Kardeşler</w:t>
      </w:r>
      <w:proofErr w:type="spellEnd"/>
      <w:r>
        <w:rPr>
          <w:rFonts w:eastAsia="Times New Roman"/>
          <w:b/>
          <w:color w:val="000000" w:themeColor="text1"/>
        </w:rPr>
        <w:t>,</w:t>
      </w:r>
    </w:p>
    <w:p w:rsidR="009140EC" w:rsidRDefault="009140EC" w:rsidP="009140EC">
      <w:pPr>
        <w:jc w:val="both"/>
        <w:outlineLvl w:val="1"/>
        <w:rPr>
          <w:rFonts w:eastAsia="Times New Roman"/>
          <w:b/>
          <w:bCs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Sendikamız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ile</w:t>
      </w:r>
      <w:proofErr w:type="spellEnd"/>
      <w:r>
        <w:rPr>
          <w:rFonts w:eastAsia="Times New Roman"/>
          <w:color w:val="000000" w:themeColor="text1"/>
        </w:rPr>
        <w:t xml:space="preserve"> MESS </w:t>
      </w:r>
      <w:proofErr w:type="spellStart"/>
      <w:r>
        <w:rPr>
          <w:rFonts w:eastAsia="Times New Roman"/>
          <w:color w:val="000000" w:themeColor="text1"/>
        </w:rPr>
        <w:t>arasında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grup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toplu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sözleşme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görüşmelerinde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anlaşma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sağlanamamış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toplam</w:t>
      </w:r>
      <w:proofErr w:type="spellEnd"/>
      <w:r>
        <w:rPr>
          <w:rFonts w:eastAsia="Times New Roman"/>
          <w:color w:val="000000" w:themeColor="text1"/>
        </w:rPr>
        <w:t xml:space="preserve"> 63 </w:t>
      </w:r>
      <w:proofErr w:type="spellStart"/>
      <w:r>
        <w:rPr>
          <w:rFonts w:eastAsia="Times New Roman"/>
          <w:color w:val="000000" w:themeColor="text1"/>
        </w:rPr>
        <w:t>madde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için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uyuşmazlık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tutulmuştur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Uyuşmazlık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konusu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maddelerin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önemli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kısmı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parasal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maddelerden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oluşmaktadır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başta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olmak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üzere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sosyal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haklar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parasal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sonuç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doğuran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fazla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mesai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gece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zammı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gibi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maddelerde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anlaşma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sağlanmamıştır</w:t>
      </w:r>
      <w:proofErr w:type="spellEnd"/>
      <w:r>
        <w:rPr>
          <w:rFonts w:eastAsia="Times New Roman"/>
          <w:color w:val="000000" w:themeColor="text1"/>
        </w:rPr>
        <w:t xml:space="preserve">.  </w:t>
      </w: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MESS Metal </w:t>
      </w:r>
      <w:proofErr w:type="spellStart"/>
      <w:r>
        <w:rPr>
          <w:rFonts w:eastAsia="Times New Roman"/>
          <w:b/>
          <w:color w:val="000000" w:themeColor="text1"/>
        </w:rPr>
        <w:t>İşçilerine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Sefaleti</w:t>
      </w:r>
      <w:proofErr w:type="spellEnd"/>
      <w:r>
        <w:rPr>
          <w:rFonts w:eastAsia="Times New Roman"/>
          <w:b/>
          <w:color w:val="000000" w:themeColor="text1"/>
        </w:rPr>
        <w:t xml:space="preserve"> Reva </w:t>
      </w:r>
      <w:proofErr w:type="spellStart"/>
      <w:r>
        <w:rPr>
          <w:rFonts w:eastAsia="Times New Roman"/>
          <w:b/>
          <w:color w:val="000000" w:themeColor="text1"/>
        </w:rPr>
        <w:t>Görüyor</w:t>
      </w:r>
      <w:proofErr w:type="spellEnd"/>
      <w:r>
        <w:rPr>
          <w:rFonts w:eastAsia="Times New Roman"/>
          <w:b/>
          <w:color w:val="000000" w:themeColor="text1"/>
        </w:rPr>
        <w:t xml:space="preserve">! </w:t>
      </w:r>
      <w:proofErr w:type="spellStart"/>
      <w:r>
        <w:rPr>
          <w:rFonts w:eastAsia="Times New Roman"/>
          <w:b/>
          <w:color w:val="000000" w:themeColor="text1"/>
        </w:rPr>
        <w:t>İnsanca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Yaşayacak</w:t>
      </w:r>
      <w:proofErr w:type="spellEnd"/>
      <w:r>
        <w:rPr>
          <w:rFonts w:eastAsia="Times New Roman"/>
          <w:b/>
          <w:color w:val="000000" w:themeColor="text1"/>
        </w:rPr>
        <w:t xml:space="preserve"> Bir </w:t>
      </w:r>
      <w:proofErr w:type="spellStart"/>
      <w:r>
        <w:rPr>
          <w:rFonts w:eastAsia="Times New Roman"/>
          <w:b/>
          <w:color w:val="000000" w:themeColor="text1"/>
        </w:rPr>
        <w:t>Ücret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Hakkımızdır</w:t>
      </w:r>
      <w:proofErr w:type="spellEnd"/>
      <w:r>
        <w:rPr>
          <w:rFonts w:eastAsia="Times New Roman"/>
          <w:b/>
          <w:color w:val="000000" w:themeColor="text1"/>
        </w:rPr>
        <w:t xml:space="preserve">! 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Metal </w:t>
      </w:r>
      <w:proofErr w:type="spellStart"/>
      <w:r>
        <w:rPr>
          <w:rFonts w:eastAsia="Times New Roman"/>
          <w:color w:val="000000" w:themeColor="text1"/>
        </w:rPr>
        <w:t>işçileri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ağır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çalışma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koşullarına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karşın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çeşitli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yaralanma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hatta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ölümleri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göze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ağır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koşularda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çalışmaktadırlar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çalışma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karşılığı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aldıkları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ise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ortalamada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ikramiye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dahil</w:t>
      </w:r>
      <w:proofErr w:type="spellEnd"/>
      <w:r>
        <w:rPr>
          <w:rFonts w:eastAsia="Times New Roman"/>
          <w:color w:val="000000" w:themeColor="text1"/>
        </w:rPr>
        <w:t xml:space="preserve"> net 2.145 </w:t>
      </w:r>
      <w:proofErr w:type="spellStart"/>
      <w:r>
        <w:rPr>
          <w:rFonts w:eastAsia="Times New Roman"/>
          <w:color w:val="000000" w:themeColor="text1"/>
        </w:rPr>
        <w:t>TL’dir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ücretle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yaşamanın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oldukça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zor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olduğu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ortadadır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Sendikamızın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ücret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zammı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talebi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iblağ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kıdem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zammı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maktu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ücret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şeklinde</w:t>
      </w:r>
      <w:proofErr w:type="spellEnd"/>
      <w:r>
        <w:rPr>
          <w:color w:val="000000" w:themeColor="text1"/>
        </w:rPr>
        <w:t xml:space="preserve"> 3 </w:t>
      </w:r>
      <w:proofErr w:type="spellStart"/>
      <w:r>
        <w:rPr>
          <w:color w:val="000000" w:themeColor="text1"/>
        </w:rPr>
        <w:t>aşamadan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oluşmaktadır</w:t>
      </w:r>
      <w:proofErr w:type="spellEnd"/>
      <w:r>
        <w:rPr>
          <w:color w:val="000000" w:themeColor="text1"/>
        </w:rPr>
        <w:t xml:space="preserve">. Buna </w:t>
      </w:r>
      <w:proofErr w:type="spellStart"/>
      <w:r>
        <w:rPr>
          <w:color w:val="000000" w:themeColor="text1"/>
        </w:rPr>
        <w:t>göre</w:t>
      </w:r>
      <w:proofErr w:type="spellEnd"/>
      <w:r>
        <w:rPr>
          <w:color w:val="000000" w:themeColor="text1"/>
        </w:rPr>
        <w:t xml:space="preserve"> ilk 6 </w:t>
      </w:r>
      <w:proofErr w:type="spellStart"/>
      <w:r>
        <w:rPr>
          <w:color w:val="000000" w:themeColor="text1"/>
        </w:rPr>
        <w:t>aylık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dönem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için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ücret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zammı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teklifimizin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karşılığı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ortalama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ücret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bazında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yüzde</w:t>
      </w:r>
      <w:proofErr w:type="spellEnd"/>
      <w:r>
        <w:rPr>
          <w:color w:val="000000" w:themeColor="text1"/>
        </w:rPr>
        <w:t xml:space="preserve"> 30,47’dir.  Bu </w:t>
      </w:r>
      <w:proofErr w:type="spellStart"/>
      <w:r>
        <w:rPr>
          <w:color w:val="000000" w:themeColor="text1"/>
        </w:rPr>
        <w:t>tutar</w:t>
      </w:r>
      <w:proofErr w:type="spellEnd"/>
      <w:r>
        <w:rPr>
          <w:color w:val="000000" w:themeColor="text1"/>
        </w:rPr>
        <w:t xml:space="preserve"> da ilk 6 </w:t>
      </w:r>
      <w:proofErr w:type="spellStart"/>
      <w:r>
        <w:rPr>
          <w:color w:val="000000" w:themeColor="text1"/>
        </w:rPr>
        <w:t>aylık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dönem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için</w:t>
      </w:r>
      <w:proofErr w:type="spellEnd"/>
      <w:r>
        <w:rPr>
          <w:color w:val="000000" w:themeColor="text1"/>
        </w:rPr>
        <w:t xml:space="preserve"> net 695 </w:t>
      </w:r>
      <w:proofErr w:type="spellStart"/>
      <w:r>
        <w:rPr>
          <w:color w:val="000000" w:themeColor="text1"/>
        </w:rPr>
        <w:t>TL’ye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gelmektedir</w:t>
      </w:r>
      <w:proofErr w:type="spellEnd"/>
      <w:r>
        <w:rPr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MESS, 1 </w:t>
      </w:r>
      <w:proofErr w:type="spellStart"/>
      <w:r>
        <w:rPr>
          <w:rFonts w:eastAsia="Times New Roman"/>
          <w:color w:val="000000" w:themeColor="text1"/>
        </w:rPr>
        <w:t>Aralık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günü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yapılan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toplantıda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zammı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tüm</w:t>
      </w:r>
      <w:proofErr w:type="spellEnd"/>
      <w:r>
        <w:rPr>
          <w:rFonts w:eastAsia="Times New Roman"/>
          <w:color w:val="000000" w:themeColor="text1"/>
        </w:rPr>
        <w:t xml:space="preserve"> 6’şar </w:t>
      </w:r>
      <w:proofErr w:type="spellStart"/>
      <w:r>
        <w:rPr>
          <w:rFonts w:eastAsia="Times New Roman"/>
          <w:color w:val="000000" w:themeColor="text1"/>
        </w:rPr>
        <w:t>aylık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dönemler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için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enflasyon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oranında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zammı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etmiştir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ilk 6 </w:t>
      </w:r>
      <w:proofErr w:type="spellStart"/>
      <w:r>
        <w:rPr>
          <w:rFonts w:eastAsia="Times New Roman"/>
          <w:color w:val="000000" w:themeColor="text1"/>
        </w:rPr>
        <w:t>aylık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dönem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için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yüzde</w:t>
      </w:r>
      <w:proofErr w:type="spellEnd"/>
      <w:r>
        <w:rPr>
          <w:rFonts w:eastAsia="Times New Roman"/>
          <w:color w:val="000000" w:themeColor="text1"/>
        </w:rPr>
        <w:t xml:space="preserve"> 3,20 </w:t>
      </w:r>
      <w:proofErr w:type="spellStart"/>
      <w:r>
        <w:rPr>
          <w:rFonts w:eastAsia="Times New Roman"/>
          <w:color w:val="000000" w:themeColor="text1"/>
        </w:rPr>
        <w:t>zam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anlamına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gelmektedir</w:t>
      </w:r>
      <w:proofErr w:type="spellEnd"/>
      <w:r>
        <w:rPr>
          <w:rFonts w:eastAsia="Times New Roman"/>
          <w:color w:val="000000" w:themeColor="text1"/>
        </w:rPr>
        <w:t xml:space="preserve">. MESS, </w:t>
      </w:r>
      <w:proofErr w:type="spellStart"/>
      <w:r>
        <w:rPr>
          <w:rFonts w:eastAsia="Times New Roman"/>
          <w:color w:val="000000" w:themeColor="text1"/>
        </w:rPr>
        <w:t>bu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oranın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işyeri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ortalamalarına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maktu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verilmesini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etmiştir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işyerlerine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göre</w:t>
      </w:r>
      <w:proofErr w:type="spellEnd"/>
      <w:r>
        <w:rPr>
          <w:rFonts w:eastAsia="Times New Roman"/>
          <w:color w:val="000000" w:themeColor="text1"/>
        </w:rPr>
        <w:t xml:space="preserve"> net </w:t>
      </w:r>
      <w:proofErr w:type="spellStart"/>
      <w:r>
        <w:rPr>
          <w:rFonts w:eastAsia="Times New Roman"/>
          <w:color w:val="000000" w:themeColor="text1"/>
        </w:rPr>
        <w:t>ikramiye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dahil</w:t>
      </w:r>
      <w:proofErr w:type="spellEnd"/>
      <w:r>
        <w:rPr>
          <w:rFonts w:eastAsia="Times New Roman"/>
          <w:color w:val="000000" w:themeColor="text1"/>
        </w:rPr>
        <w:t xml:space="preserve"> 59 TL </w:t>
      </w:r>
      <w:proofErr w:type="spellStart"/>
      <w:r>
        <w:rPr>
          <w:rFonts w:eastAsia="Times New Roman"/>
          <w:color w:val="000000" w:themeColor="text1"/>
        </w:rPr>
        <w:t>ile</w:t>
      </w:r>
      <w:proofErr w:type="spellEnd"/>
      <w:r>
        <w:rPr>
          <w:rFonts w:eastAsia="Times New Roman"/>
          <w:color w:val="000000" w:themeColor="text1"/>
        </w:rPr>
        <w:t xml:space="preserve"> 101 TL </w:t>
      </w:r>
      <w:proofErr w:type="spellStart"/>
      <w:r>
        <w:rPr>
          <w:rFonts w:eastAsia="Times New Roman"/>
          <w:color w:val="000000" w:themeColor="text1"/>
        </w:rPr>
        <w:t>arasında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değişen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oranlarda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demektir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sefalet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zammının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kabul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edilmesi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hiçbir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biçimde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mümkün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değildir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metal </w:t>
      </w:r>
      <w:proofErr w:type="spellStart"/>
      <w:r>
        <w:rPr>
          <w:rFonts w:eastAsia="Times New Roman"/>
          <w:color w:val="000000" w:themeColor="text1"/>
        </w:rPr>
        <w:t>işçileriyle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alay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etmek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demektir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Ciddiye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alınacak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değildir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proofErr w:type="spellStart"/>
      <w:r>
        <w:rPr>
          <w:rFonts w:eastAsia="Times New Roman"/>
          <w:b/>
          <w:color w:val="000000" w:themeColor="text1"/>
        </w:rPr>
        <w:t>Kardeşler</w:t>
      </w:r>
      <w:proofErr w:type="spellEnd"/>
      <w:r>
        <w:rPr>
          <w:rFonts w:eastAsia="Times New Roman"/>
          <w:b/>
          <w:color w:val="000000" w:themeColor="text1"/>
        </w:rPr>
        <w:t>,</w:t>
      </w:r>
      <w:r w:rsidR="00D40C3C">
        <w:rPr>
          <w:rFonts w:eastAsia="Times New Roman"/>
          <w:b/>
          <w:color w:val="000000" w:themeColor="text1"/>
        </w:rPr>
        <w:br/>
      </w:r>
      <w:proofErr w:type="spellStart"/>
      <w:r>
        <w:rPr>
          <w:rFonts w:eastAsia="Times New Roman"/>
          <w:b/>
          <w:color w:val="000000" w:themeColor="text1"/>
        </w:rPr>
        <w:t>Biliyoruz</w:t>
      </w:r>
      <w:proofErr w:type="spellEnd"/>
      <w:r>
        <w:rPr>
          <w:rFonts w:eastAsia="Times New Roman"/>
          <w:b/>
          <w:color w:val="000000" w:themeColor="text1"/>
        </w:rPr>
        <w:t xml:space="preserve"> Bu </w:t>
      </w:r>
      <w:proofErr w:type="spellStart"/>
      <w:r>
        <w:rPr>
          <w:rFonts w:eastAsia="Times New Roman"/>
          <w:b/>
          <w:color w:val="000000" w:themeColor="text1"/>
        </w:rPr>
        <w:t>Enflasyon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İşçilerin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Enflasyonu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Değil</w:t>
      </w:r>
      <w:proofErr w:type="spellEnd"/>
      <w:r>
        <w:rPr>
          <w:rFonts w:eastAsia="Times New Roman"/>
          <w:b/>
          <w:color w:val="000000" w:themeColor="text1"/>
        </w:rPr>
        <w:t xml:space="preserve">, </w:t>
      </w:r>
      <w:proofErr w:type="spellStart"/>
      <w:r>
        <w:rPr>
          <w:rFonts w:eastAsia="Times New Roman"/>
          <w:b/>
          <w:color w:val="000000" w:themeColor="text1"/>
        </w:rPr>
        <w:t>Patronların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Enflasyonudur</w:t>
      </w:r>
      <w:proofErr w:type="spellEnd"/>
      <w:r>
        <w:rPr>
          <w:rFonts w:eastAsia="Times New Roman"/>
          <w:b/>
          <w:color w:val="000000" w:themeColor="text1"/>
        </w:rPr>
        <w:t>!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Başta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işçiler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olmak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üzere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bu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ülkenin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yurttaşlarının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neredeyse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tümü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açıklanan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resmi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enflasyonla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işçilerin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emekçilerin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yaşadıkları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enflasyonun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aynı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olmadığı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konusunda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hemfikirdirler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Çünkü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enflasyon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sepeti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harcama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gruplarının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ağırlıkları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tüketme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alışkanlıklarına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belirlenmemektedir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Theme="minorHAnsi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Diğer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yandan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enflasyonun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düşük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gösterilmesi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için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hesaplama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yöntemiyle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sürekli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oynandığı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görülmektedir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Hesaplamada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yapılan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değişikliklerle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işçilerin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yoğun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olarak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tükettiği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mal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ve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hizmetlerdeki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fiyat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artışlarının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etkisi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azaltılmış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ve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böylece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enflasyonun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olduğundan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daha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düşük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gösterilmesi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sağlanmıştır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>.</w:t>
      </w:r>
      <w:r>
        <w:rPr>
          <w:color w:val="000000" w:themeColor="text1"/>
        </w:rPr>
        <w:t xml:space="preserve"> 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</w:p>
    <w:p w:rsidR="00D40C3C" w:rsidRDefault="00D40C3C" w:rsidP="009140EC">
      <w:pPr>
        <w:jc w:val="both"/>
        <w:rPr>
          <w:rFonts w:eastAsia="Times New Roman"/>
          <w:color w:val="000000" w:themeColor="text1"/>
        </w:rPr>
      </w:pP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proofErr w:type="spellStart"/>
      <w:r>
        <w:rPr>
          <w:rFonts w:eastAsia="Times New Roman"/>
          <w:b/>
          <w:color w:val="000000" w:themeColor="text1"/>
        </w:rPr>
        <w:lastRenderedPageBreak/>
        <w:t>Kardeşler</w:t>
      </w:r>
      <w:proofErr w:type="spellEnd"/>
      <w:r>
        <w:rPr>
          <w:rFonts w:eastAsia="Times New Roman"/>
          <w:b/>
          <w:color w:val="000000" w:themeColor="text1"/>
        </w:rPr>
        <w:t>;</w:t>
      </w:r>
      <w:r w:rsidR="00D40C3C">
        <w:rPr>
          <w:rFonts w:eastAsia="Times New Roman"/>
          <w:b/>
          <w:color w:val="000000" w:themeColor="text1"/>
        </w:rPr>
        <w:br/>
      </w:r>
      <w:proofErr w:type="spellStart"/>
      <w:r>
        <w:rPr>
          <w:rFonts w:eastAsia="Times New Roman"/>
          <w:b/>
          <w:color w:val="000000" w:themeColor="text1"/>
        </w:rPr>
        <w:t>Ücret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Zam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Yöntemini</w:t>
      </w:r>
      <w:proofErr w:type="spellEnd"/>
      <w:r>
        <w:rPr>
          <w:rFonts w:eastAsia="Times New Roman"/>
          <w:b/>
          <w:color w:val="000000" w:themeColor="text1"/>
        </w:rPr>
        <w:t xml:space="preserve"> TİS </w:t>
      </w:r>
      <w:proofErr w:type="spellStart"/>
      <w:r>
        <w:rPr>
          <w:rFonts w:eastAsia="Times New Roman"/>
          <w:b/>
          <w:color w:val="000000" w:themeColor="text1"/>
        </w:rPr>
        <w:t>Komisyonları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Aracılığıyla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Belirledik</w:t>
      </w:r>
      <w:proofErr w:type="spellEnd"/>
      <w:r>
        <w:rPr>
          <w:rFonts w:eastAsia="Times New Roman"/>
          <w:b/>
          <w:color w:val="000000" w:themeColor="text1"/>
        </w:rPr>
        <w:t xml:space="preserve">. </w:t>
      </w:r>
      <w:proofErr w:type="spellStart"/>
      <w:r>
        <w:rPr>
          <w:rFonts w:eastAsia="Times New Roman"/>
          <w:b/>
          <w:color w:val="000000" w:themeColor="text1"/>
        </w:rPr>
        <w:t>Ücret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Zammında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İşçilerin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Kıdem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Yılları</w:t>
      </w:r>
      <w:proofErr w:type="spellEnd"/>
      <w:r>
        <w:rPr>
          <w:rFonts w:eastAsia="Times New Roman"/>
          <w:b/>
          <w:color w:val="000000" w:themeColor="text1"/>
        </w:rPr>
        <w:t xml:space="preserve"> da </w:t>
      </w:r>
      <w:proofErr w:type="spellStart"/>
      <w:r>
        <w:rPr>
          <w:rFonts w:eastAsia="Times New Roman"/>
          <w:b/>
          <w:color w:val="000000" w:themeColor="text1"/>
        </w:rPr>
        <w:t>Dikkate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Almalıdır</w:t>
      </w:r>
      <w:proofErr w:type="spellEnd"/>
      <w:r>
        <w:rPr>
          <w:rFonts w:eastAsia="Times New Roman"/>
          <w:b/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Bu </w:t>
      </w:r>
      <w:proofErr w:type="spellStart"/>
      <w:r>
        <w:rPr>
          <w:rFonts w:eastAsia="Times New Roman"/>
          <w:color w:val="000000" w:themeColor="text1"/>
        </w:rPr>
        <w:t>dönemde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genelde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tüm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işçilerin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özelde</w:t>
      </w:r>
      <w:proofErr w:type="spellEnd"/>
      <w:r>
        <w:rPr>
          <w:rFonts w:eastAsia="Times New Roman"/>
          <w:color w:val="000000" w:themeColor="text1"/>
        </w:rPr>
        <w:t xml:space="preserve"> de metal </w:t>
      </w:r>
      <w:proofErr w:type="spellStart"/>
      <w:r>
        <w:rPr>
          <w:rFonts w:eastAsia="Times New Roman"/>
          <w:color w:val="000000" w:themeColor="text1"/>
        </w:rPr>
        <w:t>işçilerinin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yöntemi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konusundaki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talepleri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arasında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kıdem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zammı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verilmesi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vardır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talebin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nedenlerini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iyi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görülmelidir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Asgari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ücretin</w:t>
      </w:r>
      <w:proofErr w:type="spellEnd"/>
      <w:r>
        <w:rPr>
          <w:rFonts w:eastAsia="Times New Roman"/>
          <w:color w:val="000000" w:themeColor="text1"/>
        </w:rPr>
        <w:t xml:space="preserve"> 2016 </w:t>
      </w:r>
      <w:proofErr w:type="spellStart"/>
      <w:r>
        <w:rPr>
          <w:rFonts w:eastAsia="Times New Roman"/>
          <w:color w:val="000000" w:themeColor="text1"/>
        </w:rPr>
        <w:t>yılı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başında</w:t>
      </w:r>
      <w:proofErr w:type="spellEnd"/>
      <w:r>
        <w:rPr>
          <w:rFonts w:eastAsia="Times New Roman"/>
          <w:color w:val="000000" w:themeColor="text1"/>
        </w:rPr>
        <w:t xml:space="preserve"> 1300 TL </w:t>
      </w:r>
      <w:proofErr w:type="spellStart"/>
      <w:r>
        <w:rPr>
          <w:rFonts w:eastAsia="Times New Roman"/>
          <w:color w:val="000000" w:themeColor="text1"/>
        </w:rPr>
        <w:t>olmasının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ardından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yeni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giren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ile</w:t>
      </w:r>
      <w:proofErr w:type="spellEnd"/>
      <w:r>
        <w:rPr>
          <w:rFonts w:eastAsia="Times New Roman"/>
          <w:color w:val="000000" w:themeColor="text1"/>
        </w:rPr>
        <w:t xml:space="preserve"> 10-15 </w:t>
      </w:r>
      <w:proofErr w:type="spellStart"/>
      <w:r>
        <w:rPr>
          <w:rFonts w:eastAsia="Times New Roman"/>
          <w:color w:val="000000" w:themeColor="text1"/>
        </w:rPr>
        <w:t>yıllık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arasında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farkı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kalmamıştır</w:t>
      </w:r>
      <w:proofErr w:type="spellEnd"/>
      <w:r>
        <w:rPr>
          <w:rFonts w:eastAsia="Times New Roman"/>
          <w:color w:val="000000" w:themeColor="text1"/>
        </w:rPr>
        <w:t xml:space="preserve">. Bu durum </w:t>
      </w:r>
      <w:proofErr w:type="spellStart"/>
      <w:r>
        <w:rPr>
          <w:rFonts w:eastAsia="Times New Roman"/>
          <w:color w:val="000000" w:themeColor="text1"/>
        </w:rPr>
        <w:t>ücretlerin</w:t>
      </w:r>
      <w:proofErr w:type="spellEnd"/>
      <w:r>
        <w:rPr>
          <w:rFonts w:eastAsia="Times New Roman"/>
          <w:color w:val="000000" w:themeColor="text1"/>
        </w:rPr>
        <w:t xml:space="preserve"> ne </w:t>
      </w:r>
      <w:proofErr w:type="spellStart"/>
      <w:r>
        <w:rPr>
          <w:rFonts w:eastAsia="Times New Roman"/>
          <w:color w:val="000000" w:themeColor="text1"/>
        </w:rPr>
        <w:t>kadar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düşük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olduğunun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10-15 </w:t>
      </w:r>
      <w:proofErr w:type="spellStart"/>
      <w:r>
        <w:rPr>
          <w:rFonts w:eastAsia="Times New Roman"/>
          <w:color w:val="000000" w:themeColor="text1"/>
        </w:rPr>
        <w:t>yıllık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ücretinin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asgari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yakın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olduğunun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göstergesidir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İşçilerin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ücretleri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belirlenirken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işçilerin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kıdem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yılları</w:t>
      </w:r>
      <w:proofErr w:type="spellEnd"/>
      <w:r>
        <w:rPr>
          <w:rFonts w:eastAsia="Times New Roman"/>
          <w:color w:val="000000" w:themeColor="text1"/>
        </w:rPr>
        <w:t xml:space="preserve"> da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ölçüde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dikkate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alınmalıdır</w:t>
      </w:r>
      <w:proofErr w:type="spellEnd"/>
      <w:r>
        <w:rPr>
          <w:rFonts w:eastAsia="Times New Roman"/>
          <w:color w:val="000000" w:themeColor="text1"/>
        </w:rPr>
        <w:t xml:space="preserve">. Bu durum </w:t>
      </w:r>
      <w:proofErr w:type="spellStart"/>
      <w:r>
        <w:rPr>
          <w:rFonts w:eastAsia="Times New Roman"/>
          <w:color w:val="000000" w:themeColor="text1"/>
        </w:rPr>
        <w:t>hakkaniyetin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gereğidir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9140EC" w:rsidRDefault="009140EC" w:rsidP="009140EC">
      <w:pPr>
        <w:jc w:val="bot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Kardeşler</w:t>
      </w:r>
      <w:proofErr w:type="spellEnd"/>
      <w:r>
        <w:rPr>
          <w:b/>
          <w:color w:val="000000" w:themeColor="text1"/>
        </w:rPr>
        <w:t>,</w:t>
      </w:r>
      <w:r w:rsidR="00D40C3C">
        <w:rPr>
          <w:b/>
          <w:color w:val="000000" w:themeColor="text1"/>
        </w:rPr>
        <w:br/>
      </w:r>
      <w:proofErr w:type="spellStart"/>
      <w:r>
        <w:rPr>
          <w:b/>
          <w:color w:val="000000" w:themeColor="text1"/>
        </w:rPr>
        <w:t>Sosyal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Haklar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Gerçekliğe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Kavuşmalıdır</w:t>
      </w:r>
      <w:proofErr w:type="spellEnd"/>
      <w:r>
        <w:rPr>
          <w:b/>
          <w:color w:val="000000" w:themeColor="text1"/>
        </w:rPr>
        <w:t>!</w:t>
      </w:r>
    </w:p>
    <w:p w:rsidR="009140EC" w:rsidRDefault="009140EC" w:rsidP="009140E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Metal </w:t>
      </w:r>
      <w:proofErr w:type="spellStart"/>
      <w:r>
        <w:rPr>
          <w:color w:val="000000" w:themeColor="text1"/>
        </w:rPr>
        <w:t>işçilerine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ödenen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sosyal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hakların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ücret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içerisindeki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payı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giderek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düşmekte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ödeme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yapılması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gereken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sosyal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yapılan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ödeme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arasında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bağ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kalmamaktadır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Örneğin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bayramlarda</w:t>
      </w:r>
      <w:proofErr w:type="spellEnd"/>
      <w:r>
        <w:rPr>
          <w:color w:val="000000" w:themeColor="text1"/>
        </w:rPr>
        <w:t xml:space="preserve"> metal </w:t>
      </w:r>
      <w:proofErr w:type="spellStart"/>
      <w:r>
        <w:rPr>
          <w:color w:val="000000" w:themeColor="text1"/>
        </w:rPr>
        <w:t>işçilerine</w:t>
      </w:r>
      <w:proofErr w:type="spellEnd"/>
      <w:r>
        <w:rPr>
          <w:color w:val="000000" w:themeColor="text1"/>
        </w:rPr>
        <w:t xml:space="preserve"> net 148,5 TL </w:t>
      </w:r>
      <w:proofErr w:type="spellStart"/>
      <w:r>
        <w:rPr>
          <w:color w:val="000000" w:themeColor="text1"/>
        </w:rPr>
        <w:t>ile</w:t>
      </w:r>
      <w:proofErr w:type="spellEnd"/>
      <w:r>
        <w:rPr>
          <w:color w:val="000000" w:themeColor="text1"/>
        </w:rPr>
        <w:t xml:space="preserve"> 283,5 TL </w:t>
      </w:r>
      <w:proofErr w:type="spellStart"/>
      <w:r>
        <w:rPr>
          <w:color w:val="000000" w:themeColor="text1"/>
        </w:rPr>
        <w:t>arasında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değişen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miktarlarda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bayram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ödemesi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yapılmaktadır</w:t>
      </w:r>
      <w:proofErr w:type="spellEnd"/>
      <w:r>
        <w:rPr>
          <w:color w:val="000000" w:themeColor="text1"/>
        </w:rPr>
        <w:t xml:space="preserve">. Bu </w:t>
      </w:r>
      <w:proofErr w:type="spellStart"/>
      <w:r>
        <w:rPr>
          <w:color w:val="000000" w:themeColor="text1"/>
        </w:rPr>
        <w:t>tutar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işçinin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ailesini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görmek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için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başka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gitmesi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halinde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ücretini</w:t>
      </w:r>
      <w:proofErr w:type="spellEnd"/>
      <w:r>
        <w:rPr>
          <w:color w:val="000000" w:themeColor="text1"/>
        </w:rPr>
        <w:t xml:space="preserve"> bile </w:t>
      </w:r>
      <w:proofErr w:type="spellStart"/>
      <w:r>
        <w:rPr>
          <w:color w:val="000000" w:themeColor="text1"/>
        </w:rPr>
        <w:t>karşılamaktan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uzaktır</w:t>
      </w:r>
      <w:proofErr w:type="spellEnd"/>
      <w:r>
        <w:rPr>
          <w:color w:val="000000" w:themeColor="text1"/>
        </w:rPr>
        <w:t xml:space="preserve">.  </w:t>
      </w:r>
      <w:proofErr w:type="spellStart"/>
      <w:r>
        <w:rPr>
          <w:color w:val="000000" w:themeColor="text1"/>
        </w:rPr>
        <w:t>Aynı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şekilde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çocuklar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için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yapılan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aylık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ödeme</w:t>
      </w:r>
      <w:proofErr w:type="spellEnd"/>
      <w:r>
        <w:rPr>
          <w:color w:val="000000" w:themeColor="text1"/>
        </w:rPr>
        <w:t xml:space="preserve"> 8,5 TL </w:t>
      </w:r>
      <w:proofErr w:type="spellStart"/>
      <w:r>
        <w:rPr>
          <w:color w:val="000000" w:themeColor="text1"/>
        </w:rPr>
        <w:t>ile</w:t>
      </w:r>
      <w:proofErr w:type="spellEnd"/>
      <w:r>
        <w:rPr>
          <w:color w:val="000000" w:themeColor="text1"/>
        </w:rPr>
        <w:t xml:space="preserve"> 6,8 TL </w:t>
      </w:r>
      <w:proofErr w:type="spellStart"/>
      <w:r>
        <w:rPr>
          <w:color w:val="000000" w:themeColor="text1"/>
        </w:rPr>
        <w:t>arasında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değişmektedir</w:t>
      </w:r>
      <w:proofErr w:type="spellEnd"/>
      <w:r>
        <w:rPr>
          <w:color w:val="000000" w:themeColor="text1"/>
        </w:rPr>
        <w:t xml:space="preserve">. Bu </w:t>
      </w:r>
      <w:proofErr w:type="spellStart"/>
      <w:r>
        <w:rPr>
          <w:color w:val="000000" w:themeColor="text1"/>
        </w:rPr>
        <w:t>nedenlerle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sosyal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ödemelerdeki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orantısızlığın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giderilmesi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yükseltilmesi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kaçınılmaz</w:t>
      </w:r>
      <w:proofErr w:type="spellEnd"/>
      <w:r>
        <w:rPr>
          <w:color w:val="000000" w:themeColor="text1"/>
        </w:rPr>
        <w:t xml:space="preserve"> hale </w:t>
      </w:r>
      <w:proofErr w:type="spellStart"/>
      <w:r>
        <w:rPr>
          <w:color w:val="000000" w:themeColor="text1"/>
        </w:rPr>
        <w:t>gelmiştir</w:t>
      </w:r>
      <w:proofErr w:type="spellEnd"/>
      <w:r>
        <w:rPr>
          <w:color w:val="000000" w:themeColor="text1"/>
        </w:rPr>
        <w:t xml:space="preserve">. Bu </w:t>
      </w:r>
      <w:proofErr w:type="spellStart"/>
      <w:r>
        <w:rPr>
          <w:color w:val="000000" w:themeColor="text1"/>
        </w:rPr>
        <w:t>nedenle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sosyal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haklarda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yüzde</w:t>
      </w:r>
      <w:proofErr w:type="spellEnd"/>
      <w:r>
        <w:rPr>
          <w:color w:val="000000" w:themeColor="text1"/>
        </w:rPr>
        <w:t xml:space="preserve"> 50 </w:t>
      </w:r>
      <w:proofErr w:type="spellStart"/>
      <w:r>
        <w:rPr>
          <w:color w:val="000000" w:themeColor="text1"/>
        </w:rPr>
        <w:t>oranında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artış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teklif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edilmiştir</w:t>
      </w:r>
      <w:proofErr w:type="spellEnd"/>
      <w:r>
        <w:rPr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MESS, </w:t>
      </w:r>
      <w:proofErr w:type="spellStart"/>
      <w:r>
        <w:rPr>
          <w:rFonts w:eastAsia="Times New Roman"/>
          <w:color w:val="000000" w:themeColor="text1"/>
        </w:rPr>
        <w:t>yıllık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belirlenen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sosyal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haklarda</w:t>
      </w:r>
      <w:proofErr w:type="spellEnd"/>
      <w:r>
        <w:rPr>
          <w:rFonts w:eastAsia="Times New Roman"/>
          <w:color w:val="000000" w:themeColor="text1"/>
        </w:rPr>
        <w:t xml:space="preserve"> her </w:t>
      </w:r>
      <w:proofErr w:type="spellStart"/>
      <w:r>
        <w:rPr>
          <w:rFonts w:eastAsia="Times New Roman"/>
          <w:color w:val="000000" w:themeColor="text1"/>
        </w:rPr>
        <w:t>yıl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için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enflasyon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oranında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artış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etmiştir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1. </w:t>
      </w:r>
      <w:proofErr w:type="spellStart"/>
      <w:r>
        <w:rPr>
          <w:rFonts w:eastAsia="Times New Roman"/>
          <w:color w:val="000000" w:themeColor="text1"/>
        </w:rPr>
        <w:t>Yıl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için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yüzde</w:t>
      </w:r>
      <w:proofErr w:type="spellEnd"/>
      <w:r>
        <w:rPr>
          <w:rFonts w:eastAsia="Times New Roman"/>
          <w:color w:val="000000" w:themeColor="text1"/>
        </w:rPr>
        <w:t xml:space="preserve"> 10,68 </w:t>
      </w:r>
      <w:proofErr w:type="spellStart"/>
      <w:r>
        <w:rPr>
          <w:rFonts w:eastAsia="Times New Roman"/>
          <w:color w:val="000000" w:themeColor="text1"/>
        </w:rPr>
        <w:t>artış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demektir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proofErr w:type="spellStart"/>
      <w:r>
        <w:rPr>
          <w:rFonts w:eastAsia="Times New Roman"/>
          <w:b/>
          <w:color w:val="000000" w:themeColor="text1"/>
        </w:rPr>
        <w:t>Kardeşler</w:t>
      </w:r>
      <w:proofErr w:type="spellEnd"/>
      <w:r>
        <w:rPr>
          <w:rFonts w:eastAsia="Times New Roman"/>
          <w:b/>
          <w:color w:val="000000" w:themeColor="text1"/>
        </w:rPr>
        <w:t>;</w:t>
      </w:r>
      <w:r w:rsidR="00D40C3C">
        <w:rPr>
          <w:rFonts w:eastAsia="Times New Roman"/>
          <w:b/>
          <w:color w:val="000000" w:themeColor="text1"/>
        </w:rPr>
        <w:br/>
      </w:r>
      <w:proofErr w:type="spellStart"/>
      <w:r>
        <w:rPr>
          <w:rFonts w:eastAsia="Times New Roman"/>
          <w:b/>
          <w:color w:val="000000" w:themeColor="text1"/>
        </w:rPr>
        <w:t>Patronların</w:t>
      </w:r>
      <w:proofErr w:type="spellEnd"/>
      <w:r>
        <w:rPr>
          <w:rFonts w:eastAsia="Times New Roman"/>
          <w:b/>
          <w:color w:val="000000" w:themeColor="text1"/>
        </w:rPr>
        <w:t xml:space="preserve"> 3 </w:t>
      </w:r>
      <w:proofErr w:type="spellStart"/>
      <w:r>
        <w:rPr>
          <w:rFonts w:eastAsia="Times New Roman"/>
          <w:b/>
          <w:color w:val="000000" w:themeColor="text1"/>
        </w:rPr>
        <w:t>Yıllık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Sözleşme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Dayatmalarına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Boyun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Eğmeyeceğiz</w:t>
      </w:r>
      <w:proofErr w:type="spellEnd"/>
      <w:r>
        <w:rPr>
          <w:rFonts w:eastAsia="Times New Roman"/>
          <w:b/>
          <w:color w:val="000000" w:themeColor="text1"/>
        </w:rPr>
        <w:t>!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Bu </w:t>
      </w:r>
      <w:proofErr w:type="spellStart"/>
      <w:r>
        <w:rPr>
          <w:rFonts w:eastAsia="Times New Roman"/>
          <w:color w:val="000000" w:themeColor="text1"/>
        </w:rPr>
        <w:t>dönemki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toplu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sözleşmenin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önemli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maddeleri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arasında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bulunan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yürürlük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konusunda</w:t>
      </w:r>
      <w:proofErr w:type="spellEnd"/>
      <w:r>
        <w:rPr>
          <w:rFonts w:eastAsia="Times New Roman"/>
          <w:color w:val="000000" w:themeColor="text1"/>
        </w:rPr>
        <w:t xml:space="preserve"> da MESS 3 </w:t>
      </w:r>
      <w:proofErr w:type="spellStart"/>
      <w:r>
        <w:rPr>
          <w:rFonts w:eastAsia="Times New Roman"/>
          <w:color w:val="000000" w:themeColor="text1"/>
        </w:rPr>
        <w:t>yıllık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vermiştir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MESS’in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dönem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önceki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grevimiz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ile</w:t>
      </w:r>
      <w:proofErr w:type="spellEnd"/>
      <w:r>
        <w:rPr>
          <w:rFonts w:eastAsia="Times New Roman"/>
          <w:color w:val="000000" w:themeColor="text1"/>
        </w:rPr>
        <w:t xml:space="preserve"> 2015 </w:t>
      </w:r>
      <w:proofErr w:type="spellStart"/>
      <w:r>
        <w:rPr>
          <w:rFonts w:eastAsia="Times New Roman"/>
          <w:color w:val="000000" w:themeColor="text1"/>
        </w:rPr>
        <w:t>yılı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yaz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aylarında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yaşanan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“metal </w:t>
      </w:r>
      <w:proofErr w:type="spellStart"/>
      <w:r>
        <w:rPr>
          <w:rFonts w:eastAsia="Times New Roman"/>
          <w:color w:val="000000" w:themeColor="text1"/>
        </w:rPr>
        <w:t>fırtına</w:t>
      </w:r>
      <w:proofErr w:type="spellEnd"/>
      <w:r>
        <w:rPr>
          <w:rFonts w:eastAsia="Times New Roman"/>
          <w:color w:val="000000" w:themeColor="text1"/>
        </w:rPr>
        <w:t xml:space="preserve">” </w:t>
      </w:r>
      <w:proofErr w:type="spellStart"/>
      <w:r>
        <w:rPr>
          <w:rFonts w:eastAsia="Times New Roman"/>
          <w:color w:val="000000" w:themeColor="text1"/>
        </w:rPr>
        <w:t>olarak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adlandırılan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binlerce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yurdun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dört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yanında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onlarca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fabrikadaki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ayaklanmasından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ders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çıkarmadığı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görülmektedir</w:t>
      </w:r>
      <w:proofErr w:type="spellEnd"/>
      <w:r>
        <w:rPr>
          <w:rFonts w:eastAsia="Times New Roman"/>
          <w:color w:val="000000" w:themeColor="text1"/>
        </w:rPr>
        <w:t xml:space="preserve">. Bu </w:t>
      </w:r>
      <w:proofErr w:type="spellStart"/>
      <w:r>
        <w:rPr>
          <w:rFonts w:eastAsia="Times New Roman"/>
          <w:color w:val="000000" w:themeColor="text1"/>
        </w:rPr>
        <w:t>grevimize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ayaklanmaya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neden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konulardan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birisi</w:t>
      </w:r>
      <w:proofErr w:type="spellEnd"/>
      <w:r>
        <w:rPr>
          <w:rFonts w:eastAsia="Times New Roman"/>
          <w:color w:val="000000" w:themeColor="text1"/>
        </w:rPr>
        <w:t xml:space="preserve"> de o </w:t>
      </w:r>
      <w:proofErr w:type="spellStart"/>
      <w:r>
        <w:rPr>
          <w:rFonts w:eastAsia="Times New Roman"/>
          <w:color w:val="000000" w:themeColor="text1"/>
        </w:rPr>
        <w:t>dönemde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yapılan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toplu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sözleşmenin</w:t>
      </w:r>
      <w:proofErr w:type="spellEnd"/>
      <w:r>
        <w:rPr>
          <w:rFonts w:eastAsia="Times New Roman"/>
          <w:color w:val="000000" w:themeColor="text1"/>
        </w:rPr>
        <w:t xml:space="preserve"> 3 </w:t>
      </w:r>
      <w:proofErr w:type="spellStart"/>
      <w:r>
        <w:rPr>
          <w:rFonts w:eastAsia="Times New Roman"/>
          <w:color w:val="000000" w:themeColor="text1"/>
        </w:rPr>
        <w:t>yıl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olmasıdır</w:t>
      </w:r>
      <w:proofErr w:type="spellEnd"/>
      <w:r>
        <w:rPr>
          <w:rFonts w:eastAsia="Times New Roman"/>
          <w:color w:val="000000" w:themeColor="text1"/>
        </w:rPr>
        <w:t xml:space="preserve">. 3 </w:t>
      </w:r>
      <w:proofErr w:type="spellStart"/>
      <w:r>
        <w:rPr>
          <w:rFonts w:eastAsia="Times New Roman"/>
          <w:color w:val="000000" w:themeColor="text1"/>
        </w:rPr>
        <w:t>Yıllık</w:t>
      </w:r>
      <w:proofErr w:type="spellEnd"/>
      <w:r>
        <w:rPr>
          <w:rFonts w:eastAsia="Times New Roman"/>
          <w:color w:val="000000" w:themeColor="text1"/>
        </w:rPr>
        <w:t xml:space="preserve"> TİS </w:t>
      </w:r>
      <w:proofErr w:type="spellStart"/>
      <w:r>
        <w:rPr>
          <w:rFonts w:eastAsia="Times New Roman"/>
          <w:color w:val="000000" w:themeColor="text1"/>
        </w:rPr>
        <w:t>dayatması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yeni</w:t>
      </w:r>
      <w:proofErr w:type="spellEnd"/>
      <w:r>
        <w:rPr>
          <w:rFonts w:eastAsia="Times New Roman"/>
          <w:color w:val="000000" w:themeColor="text1"/>
        </w:rPr>
        <w:t xml:space="preserve"> metal </w:t>
      </w:r>
      <w:proofErr w:type="spellStart"/>
      <w:r>
        <w:rPr>
          <w:rFonts w:eastAsia="Times New Roman"/>
          <w:color w:val="000000" w:themeColor="text1"/>
        </w:rPr>
        <w:t>fırtınalara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yelken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açmaktır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MESS, </w:t>
      </w:r>
      <w:proofErr w:type="spellStart"/>
      <w:r>
        <w:rPr>
          <w:rFonts w:eastAsia="Times New Roman"/>
          <w:color w:val="000000" w:themeColor="text1"/>
        </w:rPr>
        <w:t>çeşitli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ülkelerde</w:t>
      </w:r>
      <w:proofErr w:type="spellEnd"/>
      <w:r>
        <w:rPr>
          <w:rFonts w:eastAsia="Times New Roman"/>
          <w:color w:val="000000" w:themeColor="text1"/>
        </w:rPr>
        <w:t xml:space="preserve"> de 3 </w:t>
      </w:r>
      <w:proofErr w:type="spellStart"/>
      <w:r>
        <w:rPr>
          <w:rFonts w:eastAsia="Times New Roman"/>
          <w:color w:val="000000" w:themeColor="text1"/>
        </w:rPr>
        <w:t>yıl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daha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uzun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sözleşmeler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yapıldığını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söylemektedir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MESS’in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örnek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gösterdiği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ülkelerdeki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aldıkları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ücretlerin</w:t>
      </w:r>
      <w:proofErr w:type="spellEnd"/>
      <w:r>
        <w:rPr>
          <w:rFonts w:eastAsia="Times New Roman"/>
          <w:color w:val="000000" w:themeColor="text1"/>
        </w:rPr>
        <w:t xml:space="preserve"> ne </w:t>
      </w:r>
      <w:proofErr w:type="spellStart"/>
      <w:r>
        <w:rPr>
          <w:rFonts w:eastAsia="Times New Roman"/>
          <w:color w:val="000000" w:themeColor="text1"/>
        </w:rPr>
        <w:t>kadar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olduğunun</w:t>
      </w:r>
      <w:proofErr w:type="spellEnd"/>
      <w:r>
        <w:rPr>
          <w:rFonts w:eastAsia="Times New Roman"/>
          <w:color w:val="000000" w:themeColor="text1"/>
        </w:rPr>
        <w:t xml:space="preserve"> da, o </w:t>
      </w:r>
      <w:proofErr w:type="spellStart"/>
      <w:r>
        <w:rPr>
          <w:rFonts w:eastAsia="Times New Roman"/>
          <w:color w:val="000000" w:themeColor="text1"/>
        </w:rPr>
        <w:t>ülkelerde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enflasyonun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yüzde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kaç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olduğunu</w:t>
      </w:r>
      <w:proofErr w:type="spellEnd"/>
      <w:r>
        <w:rPr>
          <w:rFonts w:eastAsia="Times New Roman"/>
          <w:color w:val="000000" w:themeColor="text1"/>
        </w:rPr>
        <w:t xml:space="preserve"> da </w:t>
      </w:r>
      <w:proofErr w:type="spellStart"/>
      <w:r>
        <w:rPr>
          <w:rFonts w:eastAsia="Times New Roman"/>
          <w:color w:val="000000" w:themeColor="text1"/>
        </w:rPr>
        <w:t>açıklanması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gerekir</w:t>
      </w:r>
      <w:proofErr w:type="spellEnd"/>
      <w:r>
        <w:rPr>
          <w:rFonts w:eastAsia="Times New Roman"/>
          <w:color w:val="000000" w:themeColor="text1"/>
        </w:rPr>
        <w:t xml:space="preserve">. MESS, o </w:t>
      </w:r>
      <w:proofErr w:type="spellStart"/>
      <w:r>
        <w:rPr>
          <w:rFonts w:eastAsia="Times New Roman"/>
          <w:color w:val="000000" w:themeColor="text1"/>
        </w:rPr>
        <w:t>ülkelerdeki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işçilerin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aldıkları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ücretleri</w:t>
      </w:r>
      <w:proofErr w:type="spellEnd"/>
      <w:r>
        <w:rPr>
          <w:rFonts w:eastAsia="Times New Roman"/>
          <w:color w:val="000000" w:themeColor="text1"/>
        </w:rPr>
        <w:t xml:space="preserve"> de </w:t>
      </w:r>
      <w:proofErr w:type="spellStart"/>
      <w:r>
        <w:rPr>
          <w:rFonts w:eastAsia="Times New Roman"/>
          <w:color w:val="000000" w:themeColor="text1"/>
        </w:rPr>
        <w:t>teklif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etmelidir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proofErr w:type="spellStart"/>
      <w:r>
        <w:rPr>
          <w:rFonts w:eastAsia="Times New Roman"/>
          <w:b/>
          <w:color w:val="000000" w:themeColor="text1"/>
        </w:rPr>
        <w:t>Kardeşler</w:t>
      </w:r>
      <w:proofErr w:type="spellEnd"/>
      <w:r>
        <w:rPr>
          <w:rFonts w:eastAsia="Times New Roman"/>
          <w:b/>
          <w:color w:val="000000" w:themeColor="text1"/>
        </w:rPr>
        <w:t xml:space="preserve">; </w:t>
      </w:r>
      <w:r w:rsidR="00D40C3C">
        <w:rPr>
          <w:rFonts w:eastAsia="Times New Roman"/>
          <w:b/>
          <w:color w:val="000000" w:themeColor="text1"/>
        </w:rPr>
        <w:br/>
      </w:r>
      <w:proofErr w:type="spellStart"/>
      <w:r>
        <w:rPr>
          <w:rFonts w:eastAsia="Times New Roman"/>
          <w:b/>
          <w:color w:val="000000" w:themeColor="text1"/>
        </w:rPr>
        <w:t>Patronlar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İş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Barışını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Sağlamak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İstiyorlarsa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Tekliflerimizi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Dikkate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Almak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ve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Dayatmalardan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Vazgeçmek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Zorundadırlar</w:t>
      </w:r>
      <w:proofErr w:type="spellEnd"/>
      <w:r>
        <w:rPr>
          <w:rFonts w:eastAsia="Times New Roman"/>
          <w:b/>
          <w:color w:val="000000" w:themeColor="text1"/>
        </w:rPr>
        <w:t>!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MESS, </w:t>
      </w:r>
      <w:proofErr w:type="spellStart"/>
      <w:r>
        <w:rPr>
          <w:rFonts w:eastAsia="Times New Roman"/>
          <w:color w:val="000000" w:themeColor="text1"/>
        </w:rPr>
        <w:t>iş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barışının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sürmesi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rekabet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gücünün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korunması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ilkesi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ile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hareket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ettiğini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belirtmektedir</w:t>
      </w:r>
      <w:proofErr w:type="spellEnd"/>
      <w:r>
        <w:rPr>
          <w:rFonts w:eastAsia="Times New Roman"/>
          <w:color w:val="000000" w:themeColor="text1"/>
        </w:rPr>
        <w:t xml:space="preserve">. Metal </w:t>
      </w:r>
      <w:proofErr w:type="spellStart"/>
      <w:r>
        <w:rPr>
          <w:rFonts w:eastAsia="Times New Roman"/>
          <w:color w:val="000000" w:themeColor="text1"/>
        </w:rPr>
        <w:t>işçisinin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hiçbir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talebinin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dikkate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alınmadığı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yerde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barışı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nasıl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sağlanacaktır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İşverenlerin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barışından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anladığı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kendi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isteklerinin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kabul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edilmesidir</w:t>
      </w:r>
      <w:proofErr w:type="spellEnd"/>
      <w:r>
        <w:rPr>
          <w:rFonts w:eastAsia="Times New Roman"/>
          <w:color w:val="000000" w:themeColor="text1"/>
        </w:rPr>
        <w:t xml:space="preserve">.  </w:t>
      </w:r>
      <w:proofErr w:type="spellStart"/>
      <w:r>
        <w:rPr>
          <w:rFonts w:eastAsia="Times New Roman"/>
          <w:color w:val="000000" w:themeColor="text1"/>
        </w:rPr>
        <w:t>Oysa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barışı</w:t>
      </w:r>
      <w:proofErr w:type="spellEnd"/>
      <w:r>
        <w:rPr>
          <w:rFonts w:eastAsia="Times New Roman"/>
          <w:color w:val="000000" w:themeColor="text1"/>
        </w:rPr>
        <w:t xml:space="preserve"> metal </w:t>
      </w:r>
      <w:proofErr w:type="spellStart"/>
      <w:r>
        <w:rPr>
          <w:rFonts w:eastAsia="Times New Roman"/>
          <w:color w:val="000000" w:themeColor="text1"/>
        </w:rPr>
        <w:t>işçilerine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haklarını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vermekten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kazanılmış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haklarını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tırpanlamaya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çalışmamaktan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geçmektedir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lastRenderedPageBreak/>
        <w:t>Uyuşmazlığın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diğer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önemli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nedeni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ise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MESS’in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esneklik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uygulamalarını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dayatarak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ikramiyeleri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fiili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çalışmaya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bağlamak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istemesi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denkleştirme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telafi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çalışmasını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sözleşme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maddesi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haline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getirmek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istemesi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deneme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süresinin</w:t>
      </w:r>
      <w:proofErr w:type="spellEnd"/>
      <w:r>
        <w:rPr>
          <w:rFonts w:eastAsia="Times New Roman"/>
          <w:color w:val="000000" w:themeColor="text1"/>
        </w:rPr>
        <w:t xml:space="preserve"> 4 </w:t>
      </w:r>
      <w:proofErr w:type="spellStart"/>
      <w:r>
        <w:rPr>
          <w:rFonts w:eastAsia="Times New Roman"/>
          <w:color w:val="000000" w:themeColor="text1"/>
        </w:rPr>
        <w:t>aya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çıkartılmasını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önermesidir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Sendikamızın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kazanılmış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hakları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geriye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götürecek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teklifi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kabul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etmesi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mümkün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değildir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proofErr w:type="spellStart"/>
      <w:r>
        <w:rPr>
          <w:rFonts w:eastAsia="Times New Roman"/>
          <w:b/>
          <w:color w:val="000000" w:themeColor="text1"/>
        </w:rPr>
        <w:t>Kardeşler</w:t>
      </w:r>
      <w:proofErr w:type="spellEnd"/>
      <w:r>
        <w:rPr>
          <w:rFonts w:eastAsia="Times New Roman"/>
          <w:b/>
          <w:color w:val="000000" w:themeColor="text1"/>
        </w:rPr>
        <w:t>;</w:t>
      </w:r>
      <w:r w:rsidR="00D40C3C">
        <w:rPr>
          <w:rFonts w:eastAsia="Times New Roman"/>
          <w:b/>
          <w:color w:val="000000" w:themeColor="text1"/>
        </w:rPr>
        <w:br/>
      </w:r>
      <w:proofErr w:type="spellStart"/>
      <w:r>
        <w:rPr>
          <w:rFonts w:eastAsia="Times New Roman"/>
          <w:b/>
          <w:color w:val="000000" w:themeColor="text1"/>
        </w:rPr>
        <w:t>Patronlar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Zenginliklerine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Zenginlik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Katarken</w:t>
      </w:r>
      <w:proofErr w:type="spellEnd"/>
      <w:r>
        <w:rPr>
          <w:rFonts w:eastAsia="Times New Roman"/>
          <w:b/>
          <w:color w:val="000000" w:themeColor="text1"/>
        </w:rPr>
        <w:t xml:space="preserve">, Metal </w:t>
      </w:r>
      <w:proofErr w:type="spellStart"/>
      <w:r>
        <w:rPr>
          <w:rFonts w:eastAsia="Times New Roman"/>
          <w:b/>
          <w:color w:val="000000" w:themeColor="text1"/>
        </w:rPr>
        <w:t>İşçilerini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Sefalete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Mahkum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Edemeyecekler</w:t>
      </w:r>
      <w:proofErr w:type="spellEnd"/>
      <w:r>
        <w:rPr>
          <w:rFonts w:eastAsia="Times New Roman"/>
          <w:b/>
          <w:color w:val="000000" w:themeColor="text1"/>
        </w:rPr>
        <w:t>!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MESS metal </w:t>
      </w:r>
      <w:proofErr w:type="spellStart"/>
      <w:r>
        <w:rPr>
          <w:rFonts w:eastAsia="Times New Roman"/>
          <w:color w:val="000000" w:themeColor="text1"/>
        </w:rPr>
        <w:t>işçilerine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düşük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oranlı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ücret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zammı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reva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görürken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işverenler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karlarını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sürekli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artırmaktadır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Sektöre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baktığımızda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üretimin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sürekli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arttığını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görmekteyiz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Toplu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sözleşme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kapsamındaki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işyerlerin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önemli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kısmı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otomotiv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ana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sanayideki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işyerleridir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Otomotivde</w:t>
      </w:r>
      <w:proofErr w:type="spellEnd"/>
      <w:r>
        <w:rPr>
          <w:rFonts w:eastAsia="Times New Roman"/>
          <w:color w:val="000000" w:themeColor="text1"/>
        </w:rPr>
        <w:t xml:space="preserve"> son </w:t>
      </w:r>
      <w:proofErr w:type="spellStart"/>
      <w:r>
        <w:rPr>
          <w:rFonts w:eastAsia="Times New Roman"/>
          <w:color w:val="000000" w:themeColor="text1"/>
        </w:rPr>
        <w:t>yılların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üretim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satış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rekorları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kırılmaktadır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Otomotivde</w:t>
      </w:r>
      <w:proofErr w:type="spellEnd"/>
      <w:r>
        <w:rPr>
          <w:rFonts w:eastAsia="Times New Roman"/>
          <w:color w:val="000000" w:themeColor="text1"/>
        </w:rPr>
        <w:t xml:space="preserve">, 2017 </w:t>
      </w:r>
      <w:proofErr w:type="spellStart"/>
      <w:r>
        <w:rPr>
          <w:rFonts w:eastAsia="Times New Roman"/>
          <w:color w:val="000000" w:themeColor="text1"/>
        </w:rPr>
        <w:t>yılı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Ocak-Ekim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döneminde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bir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önceki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yılın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aynı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dönemine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göre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toplam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üretim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yüzde</w:t>
      </w:r>
      <w:proofErr w:type="spellEnd"/>
      <w:r>
        <w:rPr>
          <w:rFonts w:eastAsia="Times New Roman"/>
          <w:color w:val="000000" w:themeColor="text1"/>
        </w:rPr>
        <w:t xml:space="preserve"> 17, </w:t>
      </w:r>
      <w:proofErr w:type="spellStart"/>
      <w:r>
        <w:rPr>
          <w:rFonts w:eastAsia="Times New Roman"/>
          <w:color w:val="000000" w:themeColor="text1"/>
        </w:rPr>
        <w:t>otomobil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üretimi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ise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yüzde</w:t>
      </w:r>
      <w:proofErr w:type="spellEnd"/>
      <w:r>
        <w:rPr>
          <w:rFonts w:eastAsia="Times New Roman"/>
          <w:color w:val="000000" w:themeColor="text1"/>
        </w:rPr>
        <w:t xml:space="preserve"> 27 </w:t>
      </w:r>
      <w:proofErr w:type="spellStart"/>
      <w:r>
        <w:rPr>
          <w:rFonts w:eastAsia="Times New Roman"/>
          <w:color w:val="000000" w:themeColor="text1"/>
        </w:rPr>
        <w:t>oranında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artmıştır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rStyle w:val="Gl"/>
          <w:rFonts w:eastAsiaTheme="minorHAnsi"/>
          <w:b w:val="0"/>
          <w:bdr w:val="none" w:sz="0" w:space="0" w:color="auto" w:frame="1"/>
        </w:rPr>
      </w:pPr>
      <w:r>
        <w:rPr>
          <w:rStyle w:val="Gl"/>
          <w:color w:val="000000" w:themeColor="text1"/>
          <w:bdr w:val="none" w:sz="0" w:space="0" w:color="auto" w:frame="1"/>
        </w:rPr>
        <w:t xml:space="preserve">4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Beyaz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eşyanın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 (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buzdolabı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,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çamaşır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makinası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,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bulaşık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makinası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,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fırın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) 2017’nin ilk 10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ayında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iç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satışlarında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 %20,5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artış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000000" w:themeColor="text1"/>
          <w:bdr w:val="none" w:sz="0" w:space="0" w:color="auto" w:frame="1"/>
        </w:rPr>
        <w:t>gerçekleşmiştir</w:t>
      </w:r>
      <w:proofErr w:type="spellEnd"/>
      <w:r>
        <w:rPr>
          <w:rStyle w:val="Gl"/>
          <w:color w:val="000000" w:themeColor="text1"/>
          <w:bdr w:val="none" w:sz="0" w:space="0" w:color="auto" w:frame="1"/>
        </w:rPr>
        <w:t>. 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  <w:shd w:val="clear" w:color="auto" w:fill="FFFFFF"/>
        </w:rPr>
      </w:pPr>
      <w:r>
        <w:rPr>
          <w:rFonts w:eastAsia="Times New Roman"/>
          <w:color w:val="000000" w:themeColor="text1"/>
          <w:shd w:val="clear" w:color="auto" w:fill="FFFFFF"/>
        </w:rPr>
        <w:t xml:space="preserve">2017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yılının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10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aylık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döneminde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Türkiye’nin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toplam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ham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çelik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üretimi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%13,3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oranında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artışla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, 2016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yılının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aynı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dönemindeki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27.4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milyon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tondan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31.05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milyon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tona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yükselmiştir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>.</w:t>
      </w:r>
    </w:p>
    <w:p w:rsidR="009140EC" w:rsidRDefault="009140EC" w:rsidP="009140EC">
      <w:pPr>
        <w:jc w:val="both"/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Sektördeki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gelişmenin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yanında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işverenler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sürekli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olarak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teşviklerle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desteklenmekte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maliyetlerin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önemli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bölümü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devlet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tarafından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karşılanmaktadır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9140EC" w:rsidRDefault="009140EC" w:rsidP="009140EC">
      <w:pPr>
        <w:rPr>
          <w:rFonts w:eastAsia="Times New Roman"/>
          <w:color w:val="000000" w:themeColor="text1"/>
          <w:shd w:val="clear" w:color="auto" w:fill="FFFFFF"/>
        </w:rPr>
      </w:pPr>
      <w:r>
        <w:rPr>
          <w:rFonts w:eastAsia="Times New Roman"/>
          <w:color w:val="000000" w:themeColor="text1"/>
          <w:shd w:val="clear" w:color="auto" w:fill="FFFFFF"/>
        </w:rPr>
        <w:t xml:space="preserve">TAYSAD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Başkanı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fabrikalarda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makine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koyacak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yer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kalmadı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diyerek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yoğun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talep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nedeniyle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bu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yıl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tatillerini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ötelemek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zorunda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kaldıklarını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söylüyor</w:t>
      </w:r>
      <w:proofErr w:type="spellEnd"/>
      <w:r>
        <w:rPr>
          <w:rFonts w:eastAsia="Times New Roman"/>
          <w:color w:val="000000" w:themeColor="text1"/>
          <w:shd w:val="clear" w:color="auto" w:fill="FFFFFF"/>
        </w:rPr>
        <w:t>.</w:t>
      </w: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proofErr w:type="spellStart"/>
      <w:r>
        <w:rPr>
          <w:rFonts w:eastAsia="Times New Roman"/>
          <w:b/>
          <w:color w:val="000000" w:themeColor="text1"/>
        </w:rPr>
        <w:t>Kardeşler</w:t>
      </w:r>
      <w:proofErr w:type="spellEnd"/>
      <w:r>
        <w:rPr>
          <w:rFonts w:eastAsia="Times New Roman"/>
          <w:b/>
          <w:color w:val="000000" w:themeColor="text1"/>
        </w:rPr>
        <w:t>;</w:t>
      </w:r>
    </w:p>
    <w:p w:rsidR="009140EC" w:rsidRDefault="009140EC" w:rsidP="00D40C3C">
      <w:pPr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MESS’in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tekliflerinin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kabul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edilmesi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mümkün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değildir</w:t>
      </w:r>
      <w:proofErr w:type="spellEnd"/>
      <w:r>
        <w:rPr>
          <w:rFonts w:eastAsia="Times New Roman"/>
          <w:color w:val="000000" w:themeColor="text1"/>
        </w:rPr>
        <w:t xml:space="preserve">. </w:t>
      </w:r>
      <w:r w:rsidR="00D40C3C">
        <w:rPr>
          <w:rFonts w:eastAsia="Times New Roman"/>
          <w:color w:val="000000" w:themeColor="text1"/>
        </w:rPr>
        <w:br/>
      </w:r>
      <w:proofErr w:type="spellStart"/>
      <w:r>
        <w:rPr>
          <w:rFonts w:eastAsia="Times New Roman"/>
          <w:color w:val="000000" w:themeColor="text1"/>
        </w:rPr>
        <w:t>MESS’in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dayatmalarına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karşı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koyacağımızı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boyun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eğmeyeceğimizi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görecekler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Metal </w:t>
      </w:r>
      <w:proofErr w:type="spellStart"/>
      <w:r>
        <w:rPr>
          <w:rFonts w:eastAsia="Times New Roman"/>
          <w:b/>
          <w:color w:val="000000" w:themeColor="text1"/>
        </w:rPr>
        <w:t>işçileri</w:t>
      </w:r>
      <w:proofErr w:type="spellEnd"/>
      <w:r>
        <w:rPr>
          <w:rFonts w:eastAsia="Times New Roman"/>
          <w:b/>
          <w:color w:val="000000" w:themeColor="text1"/>
        </w:rPr>
        <w:t xml:space="preserve">, </w:t>
      </w:r>
      <w:proofErr w:type="spellStart"/>
      <w:r>
        <w:rPr>
          <w:rFonts w:eastAsia="Times New Roman"/>
          <w:b/>
          <w:color w:val="000000" w:themeColor="text1"/>
        </w:rPr>
        <w:t>MESS’in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bu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teklifine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gereken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cevabı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r w:rsidR="00045550">
        <w:rPr>
          <w:rFonts w:eastAsia="Times New Roman"/>
          <w:b/>
          <w:color w:val="000000" w:themeColor="text1"/>
        </w:rPr>
        <w:t>4</w:t>
      </w:r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Aralık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 w:rsidR="00257739">
        <w:rPr>
          <w:rFonts w:eastAsia="Times New Roman"/>
          <w:b/>
          <w:color w:val="000000" w:themeColor="text1"/>
        </w:rPr>
        <w:t>Pazartesi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sabahtan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itibaren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üretimden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gelen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güçlerini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kullanarak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vereceklerdir</w:t>
      </w:r>
      <w:proofErr w:type="spellEnd"/>
      <w:r>
        <w:rPr>
          <w:rFonts w:eastAsia="Times New Roman"/>
          <w:b/>
          <w:color w:val="000000" w:themeColor="text1"/>
        </w:rPr>
        <w:t>.</w:t>
      </w:r>
    </w:p>
    <w:p w:rsidR="009140EC" w:rsidRDefault="009140EC" w:rsidP="009140EC">
      <w:pPr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Sendikamız</w:t>
      </w:r>
      <w:proofErr w:type="spellEnd"/>
      <w:r>
        <w:rPr>
          <w:rFonts w:eastAsia="Times New Roman"/>
          <w:color w:val="000000" w:themeColor="text1"/>
        </w:rPr>
        <w:t xml:space="preserve">, </w:t>
      </w:r>
      <w:proofErr w:type="spellStart"/>
      <w:r>
        <w:rPr>
          <w:rFonts w:eastAsia="Times New Roman"/>
          <w:color w:val="000000" w:themeColor="text1"/>
        </w:rPr>
        <w:t>gelinen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noktayı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değerlendirmek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üzere</w:t>
      </w:r>
      <w:proofErr w:type="spellEnd"/>
      <w:r>
        <w:rPr>
          <w:rFonts w:eastAsia="Times New Roman"/>
          <w:color w:val="000000" w:themeColor="text1"/>
        </w:rPr>
        <w:t xml:space="preserve"> 8 </w:t>
      </w:r>
      <w:proofErr w:type="spellStart"/>
      <w:r>
        <w:rPr>
          <w:rFonts w:eastAsia="Times New Roman"/>
          <w:color w:val="000000" w:themeColor="text1"/>
        </w:rPr>
        <w:t>Aralık</w:t>
      </w:r>
      <w:proofErr w:type="spellEnd"/>
      <w:r>
        <w:rPr>
          <w:rFonts w:eastAsia="Times New Roman"/>
          <w:color w:val="000000" w:themeColor="text1"/>
        </w:rPr>
        <w:t xml:space="preserve"> 2017 </w:t>
      </w:r>
      <w:proofErr w:type="spellStart"/>
      <w:r>
        <w:rPr>
          <w:rFonts w:eastAsia="Times New Roman"/>
          <w:color w:val="000000" w:themeColor="text1"/>
        </w:rPr>
        <w:t>Cuma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günü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Merkez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 w:rsidR="00BF41C0">
        <w:rPr>
          <w:rFonts w:eastAsia="Times New Roman"/>
          <w:color w:val="000000" w:themeColor="text1"/>
        </w:rPr>
        <w:t>Toplu</w:t>
      </w:r>
      <w:proofErr w:type="spellEnd"/>
      <w:r w:rsidR="00BF41C0">
        <w:rPr>
          <w:rFonts w:eastAsia="Times New Roman"/>
          <w:color w:val="000000" w:themeColor="text1"/>
        </w:rPr>
        <w:t xml:space="preserve"> </w:t>
      </w:r>
      <w:proofErr w:type="spellStart"/>
      <w:r w:rsidR="00BF41C0">
        <w:rPr>
          <w:rFonts w:eastAsia="Times New Roman"/>
          <w:color w:val="000000" w:themeColor="text1"/>
        </w:rPr>
        <w:t>Sözleşme</w:t>
      </w:r>
      <w:proofErr w:type="spellEnd"/>
      <w:r w:rsidR="00BF41C0">
        <w:rPr>
          <w:rFonts w:eastAsia="Times New Roman"/>
          <w:color w:val="000000" w:themeColor="text1"/>
        </w:rPr>
        <w:t xml:space="preserve"> </w:t>
      </w:r>
      <w:proofErr w:type="spellStart"/>
      <w:r w:rsidR="00BF41C0">
        <w:rPr>
          <w:rFonts w:eastAsia="Times New Roman"/>
          <w:color w:val="000000" w:themeColor="text1"/>
        </w:rPr>
        <w:t>Komisyonu</w:t>
      </w:r>
      <w:r w:rsidR="009044AC">
        <w:rPr>
          <w:rFonts w:eastAsia="Times New Roman"/>
          <w:color w:val="000000" w:themeColor="text1"/>
        </w:rPr>
        <w:t>nu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toplayacaktır</w:t>
      </w:r>
      <w:proofErr w:type="spellEnd"/>
      <w:r>
        <w:rPr>
          <w:rFonts w:eastAsia="Times New Roman"/>
          <w:color w:val="000000" w:themeColor="text1"/>
        </w:rPr>
        <w:t xml:space="preserve">. </w:t>
      </w:r>
      <w:proofErr w:type="spellStart"/>
      <w:r>
        <w:rPr>
          <w:rFonts w:eastAsia="Times New Roman"/>
          <w:color w:val="000000" w:themeColor="text1"/>
        </w:rPr>
        <w:t>Önümüzdeki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döneme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ilişkin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mücadele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kararları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ve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yol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haritası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bu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toplantıda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belirlenecektir</w:t>
      </w:r>
      <w:proofErr w:type="spellEnd"/>
      <w:r>
        <w:rPr>
          <w:rFonts w:eastAsia="Times New Roman"/>
          <w:color w:val="000000" w:themeColor="text1"/>
        </w:rPr>
        <w:t>.</w:t>
      </w:r>
    </w:p>
    <w:p w:rsidR="009140EC" w:rsidRDefault="009140EC" w:rsidP="009140EC">
      <w:pPr>
        <w:jc w:val="both"/>
        <w:rPr>
          <w:rFonts w:eastAsia="Times New Roman"/>
          <w:b/>
          <w:color w:val="000000" w:themeColor="text1"/>
        </w:rPr>
      </w:pPr>
      <w:proofErr w:type="spellStart"/>
      <w:r>
        <w:rPr>
          <w:rFonts w:eastAsia="Times New Roman"/>
          <w:b/>
          <w:color w:val="000000" w:themeColor="text1"/>
        </w:rPr>
        <w:t>Uyuşmazlık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konusu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maddeler</w:t>
      </w:r>
      <w:proofErr w:type="spellEnd"/>
      <w:r>
        <w:rPr>
          <w:rFonts w:eastAsia="Times New Roman"/>
          <w:b/>
          <w:color w:val="000000" w:themeColor="text1"/>
        </w:rPr>
        <w:t xml:space="preserve"> </w:t>
      </w:r>
      <w:proofErr w:type="spellStart"/>
      <w:r>
        <w:rPr>
          <w:rFonts w:eastAsia="Times New Roman"/>
          <w:b/>
          <w:color w:val="000000" w:themeColor="text1"/>
        </w:rPr>
        <w:t>aşağıdadır</w:t>
      </w:r>
      <w:proofErr w:type="spellEnd"/>
      <w:r>
        <w:rPr>
          <w:rFonts w:eastAsia="Times New Roman"/>
          <w:b/>
          <w:color w:val="000000" w:themeColor="text1"/>
        </w:rPr>
        <w:t>:</w:t>
      </w:r>
      <w:bookmarkStart w:id="0" w:name="_GoBack"/>
      <w:bookmarkEnd w:id="0"/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8729"/>
      </w:tblGrid>
      <w:tr w:rsidR="009140EC" w:rsidRPr="00D40C3C" w:rsidTr="00D40C3C">
        <w:trPr>
          <w:trHeight w:val="256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5: YÜRÜRLÜK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6: KAPSAM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8: KAZANILMIŞ HAKLAR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9: EK YÖNETMELİKLER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 18: SENDİKAL İZİNLER</w:t>
            </w:r>
          </w:p>
        </w:tc>
      </w:tr>
      <w:tr w:rsidR="009140EC" w:rsidRPr="00D40C3C" w:rsidTr="009140EC">
        <w:trPr>
          <w:trHeight w:val="6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24: METAL SANAYİİ İŞ GRUPLANDIRMA SİSTEMİNİN UYGULANMASINA İLİŞKİN HUSUSLARIN ELE ALINIŞ PROSEDÜRÜ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 25 DİSİPLİN KURULU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26: ÇALIŞMA SÜRELERİ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27: ARA DİNLENMESİ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28: VARDİYA ÇALIŞMALARI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29: ÇALIŞILMIŞ SAYILAN SÜRELER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30: FAZLA ÇALIŞMANIN DÜZENLENMESİ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31: HAFTA TATİLİ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33: İŞ VE İŞYERİ DEĞİŞİKLİĞİ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34: DENEME SÜRESİ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35: BELİRLİ SÜRELİ İŞ SÖZLEŞMESİ </w:t>
            </w:r>
          </w:p>
        </w:tc>
      </w:tr>
      <w:tr w:rsidR="009140EC" w:rsidRPr="00D40C3C" w:rsidTr="009140EC">
        <w:trPr>
          <w:trHeight w:val="39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36: İŞ SÖZLEŞMELERİNİN TOPLU İŞ SÖZLEŞMESİ İLE İLİŞKİLERİ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39 TOPLU İŞÇİ ÇIKARMA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40: ÇIKARILAN İŞÇİLERİN İŞE ÇAĞRILMASI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41 İHBAR TAZMİNATI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42: KIDEM TAZMİNATI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45: İŞE GİRİŞ ÜCRETİ</w:t>
            </w:r>
          </w:p>
        </w:tc>
      </w:tr>
      <w:tr w:rsidR="009140EC" w:rsidRPr="00D40C3C" w:rsidTr="009140EC">
        <w:trPr>
          <w:trHeight w:val="46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46: ÜCRET ZAMLARI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47: İKRAMİYELER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48: FAZLA ÇALIŞMA ÜCRETİ</w:t>
            </w:r>
          </w:p>
        </w:tc>
      </w:tr>
      <w:tr w:rsidR="009140EC" w:rsidRPr="00D40C3C" w:rsidTr="009140EC">
        <w:trPr>
          <w:trHeight w:val="6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49: ULUSAL BAYRAM, GENEL TATİLLERDE ÇALIŞMA VE BAYRAM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50: GECE ZAMMI 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51: POSTABAŞILIK TAZMİNATI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52: YILLIK ÜCRETLİ İZİN VE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53: YILLIK ÜCRETLİ İZNİN TOPLU KULLANIMI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54: YILLIK ÜCRETLİ İZİN KURULU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55: YAKACAK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56: ASKERLİK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57: YOLLUKLAR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58: ÜCRETLERİN ÖDENME ŞEKLİ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59: YEMEK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60: EVLENME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61: DOĞUM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62: GEBE VE EMZİKLİ KADINLARIN İZİN HAKKI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63: ÇOCUK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64: ÖĞRENİM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65: ÖLÜM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66: VASITA ÖDENEĞİ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67: SOSYAL SİGORTALAR İLE İLGİLİ İZİNLER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68: HAVLU VE TEMİZLİK MALZEMESİ ÖDEMESİ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69: MAZERET İZNİ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70: İŞÇİ SAĞLIĞI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71: İŞ GÜVENLİĞİ MALZEMELERİ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75: ÇEŞİTLİ HÜKÜMLER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77: ÖDEMELER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GEÇİCİ MADDE 2: FAZLA ÖDENMİŞ SOSYAL YARDIMLAR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GEÇİCİ MADDE 3: BİRİKMİŞ FARKLARIN ÖDENMESİ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GEÇİCİ MADDE 4: SENDİKA AİDAT FARKLARI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9140EC" w:rsidRPr="00D40C3C" w:rsidTr="009140EC">
        <w:trPr>
          <w:trHeight w:val="45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6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7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8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9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10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11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12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13</w:t>
            </w:r>
          </w:p>
        </w:tc>
      </w:tr>
      <w:tr w:rsidR="009140EC" w:rsidRPr="00D40C3C" w:rsidTr="009140EC">
        <w:trPr>
          <w:trHeight w:val="34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140EC" w:rsidRPr="00D40C3C" w:rsidRDefault="009140EC" w:rsidP="00D40C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Madde</w:t>
            </w:r>
            <w:proofErr w:type="spellEnd"/>
            <w:r w:rsidRPr="00D40C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14</w:t>
            </w:r>
          </w:p>
        </w:tc>
      </w:tr>
    </w:tbl>
    <w:p w:rsidR="009140EC" w:rsidRDefault="009140EC" w:rsidP="009140EC">
      <w:pPr>
        <w:jc w:val="both"/>
        <w:rPr>
          <w:rFonts w:eastAsiaTheme="minorHAnsi"/>
          <w:color w:val="000000" w:themeColor="text1"/>
          <w:lang w:eastAsia="tr-TR"/>
        </w:rPr>
      </w:pPr>
    </w:p>
    <w:p w:rsidR="007B360D" w:rsidRPr="007B360D" w:rsidRDefault="00953B9E" w:rsidP="00F929C3">
      <w:pPr>
        <w:pStyle w:val="Balk5"/>
        <w:spacing w:before="120" w:after="120" w:line="240" w:lineRule="auto"/>
        <w:ind w:left="567" w:firstLine="709"/>
        <w:jc w:val="right"/>
        <w:rPr>
          <w:rStyle w:val="apple-style-span"/>
          <w:rFonts w:asciiTheme="majorHAnsi" w:hAnsiTheme="majorHAnsi"/>
          <w:shd w:val="clear" w:color="auto" w:fill="FFFFFF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  <w:r w:rsidR="00F929C3">
        <w:rPr>
          <w:rFonts w:cs="Revue BT"/>
          <w:b/>
          <w:i w:val="0"/>
          <w:lang w:eastAsia="en-US"/>
        </w:rPr>
        <w:br/>
      </w:r>
      <w:r>
        <w:rPr>
          <w:rFonts w:ascii="Arial" w:hAnsi="Arial" w:cs="Arial"/>
          <w:b/>
        </w:rPr>
        <w:t>Genel Yönetim Kurulu</w:t>
      </w:r>
    </w:p>
    <w:p w:rsidR="00F20E11" w:rsidRPr="007B360D" w:rsidRDefault="00F20E11" w:rsidP="000D56B5">
      <w:pPr>
        <w:spacing w:after="0" w:line="264" w:lineRule="auto"/>
        <w:jc w:val="right"/>
        <w:rPr>
          <w:rFonts w:asciiTheme="majorHAnsi" w:hAnsiTheme="majorHAnsi"/>
          <w:sz w:val="24"/>
          <w:szCs w:val="24"/>
          <w:lang w:val="tr-TR"/>
        </w:rPr>
      </w:pPr>
    </w:p>
    <w:sectPr w:rsidR="00F20E11" w:rsidRPr="007B360D" w:rsidSect="00361CA0">
      <w:pgSz w:w="11906" w:h="16838"/>
      <w:pgMar w:top="1134" w:right="1558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684D"/>
    <w:multiLevelType w:val="hybridMultilevel"/>
    <w:tmpl w:val="5C5CB8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4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45550"/>
    <w:rsid w:val="00054FDB"/>
    <w:rsid w:val="0005581B"/>
    <w:rsid w:val="0006161E"/>
    <w:rsid w:val="000836FD"/>
    <w:rsid w:val="00091618"/>
    <w:rsid w:val="00096E88"/>
    <w:rsid w:val="000A3B52"/>
    <w:rsid w:val="000A4CAF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57739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21121"/>
    <w:rsid w:val="003273BC"/>
    <w:rsid w:val="003346EE"/>
    <w:rsid w:val="00335A76"/>
    <w:rsid w:val="003370DB"/>
    <w:rsid w:val="00341605"/>
    <w:rsid w:val="00344814"/>
    <w:rsid w:val="00361CA0"/>
    <w:rsid w:val="003657EB"/>
    <w:rsid w:val="003730CD"/>
    <w:rsid w:val="003808FF"/>
    <w:rsid w:val="00381C50"/>
    <w:rsid w:val="00383A5A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65D5B"/>
    <w:rsid w:val="00471739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37F10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4270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75B52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6F1BC2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2DB6"/>
    <w:rsid w:val="007C37EB"/>
    <w:rsid w:val="007C6D02"/>
    <w:rsid w:val="007C7FE2"/>
    <w:rsid w:val="007E1C2E"/>
    <w:rsid w:val="007E6C1A"/>
    <w:rsid w:val="007F4117"/>
    <w:rsid w:val="008022DC"/>
    <w:rsid w:val="00802C4E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8F6891"/>
    <w:rsid w:val="009044AC"/>
    <w:rsid w:val="00911198"/>
    <w:rsid w:val="009140EC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2A17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B3492"/>
    <w:rsid w:val="00AC404E"/>
    <w:rsid w:val="00AC6740"/>
    <w:rsid w:val="00AD6D0E"/>
    <w:rsid w:val="00AE108A"/>
    <w:rsid w:val="00AE7E3D"/>
    <w:rsid w:val="00B01270"/>
    <w:rsid w:val="00B042BE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5F66"/>
    <w:rsid w:val="00BD62F5"/>
    <w:rsid w:val="00BD6A01"/>
    <w:rsid w:val="00BE6D99"/>
    <w:rsid w:val="00BF41C0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17F9E"/>
    <w:rsid w:val="00D37095"/>
    <w:rsid w:val="00D404A5"/>
    <w:rsid w:val="00D40C3C"/>
    <w:rsid w:val="00D42655"/>
    <w:rsid w:val="00D42669"/>
    <w:rsid w:val="00D4272C"/>
    <w:rsid w:val="00D429E6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C71FF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63B25"/>
    <w:rsid w:val="00F72910"/>
    <w:rsid w:val="00F83692"/>
    <w:rsid w:val="00F878BD"/>
    <w:rsid w:val="00F929C3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6255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EC0D9-E05F-4ECC-8984-C9337045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15</cp:revision>
  <cp:lastPrinted>2017-12-01T14:56:00Z</cp:lastPrinted>
  <dcterms:created xsi:type="dcterms:W3CDTF">2017-11-23T05:20:00Z</dcterms:created>
  <dcterms:modified xsi:type="dcterms:W3CDTF">2017-12-01T15:07:00Z</dcterms:modified>
</cp:coreProperties>
</file>