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B360D" w:rsidRDefault="00B44F5B" w:rsidP="006C5AED">
      <w:pPr>
        <w:spacing w:line="240" w:lineRule="auto"/>
        <w:jc w:val="center"/>
        <w:rPr>
          <w:rFonts w:asciiTheme="majorHAnsi" w:hAnsiTheme="majorHAnsi"/>
          <w:sz w:val="24"/>
          <w:szCs w:val="24"/>
          <w:lang w:val="tr-TR" w:eastAsia="tr-TR" w:bidi="ar-SA"/>
        </w:rPr>
      </w:pPr>
      <w:r w:rsidRPr="007B360D">
        <w:rPr>
          <w:rFonts w:asciiTheme="majorHAnsi" w:hAnsiTheme="majorHAnsi"/>
          <w:noProof/>
          <w:sz w:val="24"/>
          <w:szCs w:val="24"/>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7B360D">
        <w:rPr>
          <w:rFonts w:asciiTheme="majorHAnsi" w:hAnsiTheme="majorHAnsi"/>
          <w:noProof/>
          <w:sz w:val="24"/>
          <w:szCs w:val="24"/>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2C692D">
      <w:pPr>
        <w:pBdr>
          <w:bottom w:val="single" w:sz="4" w:space="1" w:color="auto"/>
        </w:pBdr>
        <w:spacing w:after="20" w:line="240" w:lineRule="auto"/>
        <w:jc w:val="center"/>
        <w:rPr>
          <w:rFonts w:asciiTheme="majorHAnsi" w:hAnsiTheme="majorHAnsi"/>
          <w:sz w:val="24"/>
          <w:szCs w:val="24"/>
          <w:lang w:val="tr-TR"/>
        </w:rPr>
      </w:pPr>
    </w:p>
    <w:p w:rsidR="00953B9E" w:rsidRDefault="00EB33D4" w:rsidP="006C5AED">
      <w:pPr>
        <w:spacing w:before="120" w:after="40" w:line="240" w:lineRule="auto"/>
        <w:ind w:firstLine="567"/>
        <w:jc w:val="right"/>
        <w:rPr>
          <w:rFonts w:ascii="Times New Roman" w:hAnsi="Times New Roman"/>
          <w:b/>
          <w:sz w:val="20"/>
          <w:szCs w:val="20"/>
          <w:lang w:val="tr-TR"/>
        </w:rPr>
      </w:pPr>
      <w:r w:rsidRPr="007B360D">
        <w:rPr>
          <w:rFonts w:asciiTheme="majorHAnsi" w:hAnsiTheme="majorHAnsi"/>
          <w:b/>
          <w:sz w:val="24"/>
          <w:szCs w:val="24"/>
          <w:lang w:val="tr-TR"/>
        </w:rPr>
        <w:br/>
      </w:r>
      <w:r w:rsidR="009A0713">
        <w:rPr>
          <w:rFonts w:ascii="Times New Roman" w:hAnsi="Times New Roman"/>
          <w:b/>
          <w:sz w:val="20"/>
          <w:szCs w:val="20"/>
          <w:lang w:val="tr-TR"/>
        </w:rPr>
        <w:t>05</w:t>
      </w:r>
      <w:r w:rsidR="00953B9E">
        <w:rPr>
          <w:rFonts w:ascii="Times New Roman" w:hAnsi="Times New Roman"/>
          <w:b/>
          <w:sz w:val="20"/>
          <w:szCs w:val="20"/>
          <w:lang w:val="tr-TR"/>
        </w:rPr>
        <w:t>.</w:t>
      </w:r>
      <w:r w:rsidR="007C2EE4">
        <w:rPr>
          <w:rFonts w:ascii="Times New Roman" w:hAnsi="Times New Roman"/>
          <w:b/>
          <w:sz w:val="20"/>
          <w:szCs w:val="20"/>
          <w:lang w:val="tr-TR"/>
        </w:rPr>
        <w:t>0</w:t>
      </w:r>
      <w:r w:rsidR="009A0713">
        <w:rPr>
          <w:rFonts w:ascii="Times New Roman" w:hAnsi="Times New Roman"/>
          <w:b/>
          <w:sz w:val="20"/>
          <w:szCs w:val="20"/>
          <w:lang w:val="tr-TR"/>
        </w:rPr>
        <w:t>3</w:t>
      </w:r>
      <w:r w:rsidR="00953B9E">
        <w:rPr>
          <w:rFonts w:ascii="Times New Roman" w:hAnsi="Times New Roman"/>
          <w:b/>
          <w:sz w:val="20"/>
          <w:szCs w:val="20"/>
          <w:lang w:val="tr-TR"/>
        </w:rPr>
        <w:t>.201</w:t>
      </w:r>
      <w:r w:rsidR="007C2EE4">
        <w:rPr>
          <w:rFonts w:ascii="Times New Roman" w:hAnsi="Times New Roman"/>
          <w:b/>
          <w:sz w:val="20"/>
          <w:szCs w:val="20"/>
          <w:lang w:val="tr-TR"/>
        </w:rPr>
        <w:t>8</w:t>
      </w:r>
    </w:p>
    <w:p w:rsidR="009A0713" w:rsidRPr="009A0713" w:rsidRDefault="009A0713" w:rsidP="009A0713">
      <w:pPr>
        <w:spacing w:after="0" w:line="240" w:lineRule="auto"/>
        <w:jc w:val="center"/>
        <w:rPr>
          <w:rStyle w:val="apple-style-span"/>
          <w:rFonts w:ascii="Arial Black" w:hAnsi="Arial Black"/>
          <w:b/>
          <w:color w:val="000000"/>
          <w:shd w:val="clear" w:color="auto" w:fill="FFFFFF"/>
          <w:lang w:val="tr-TR"/>
        </w:rPr>
      </w:pPr>
      <w:r w:rsidRPr="009A0713">
        <w:rPr>
          <w:rStyle w:val="apple-style-span"/>
          <w:rFonts w:ascii="Arial Black" w:hAnsi="Arial Black"/>
          <w:b/>
          <w:color w:val="000000"/>
          <w:shd w:val="clear" w:color="auto" w:fill="FFFFFF"/>
          <w:lang w:val="tr-TR"/>
        </w:rPr>
        <w:t>Birleşik Metal-İş Sendikası Sınıf Araştırmaları Merkezi (BİSAM)</w:t>
      </w:r>
    </w:p>
    <w:p w:rsidR="009A0713" w:rsidRPr="009A0713" w:rsidRDefault="009A0713" w:rsidP="009A0713">
      <w:pPr>
        <w:spacing w:after="0" w:line="240" w:lineRule="auto"/>
        <w:jc w:val="center"/>
        <w:rPr>
          <w:rStyle w:val="apple-style-span"/>
          <w:rFonts w:ascii="Arial Black" w:hAnsi="Arial Black"/>
          <w:b/>
          <w:color w:val="000000"/>
          <w:shd w:val="clear" w:color="auto" w:fill="FFFFFF"/>
          <w:lang w:val="tr-TR"/>
        </w:rPr>
      </w:pPr>
      <w:r w:rsidRPr="009A0713">
        <w:rPr>
          <w:rStyle w:val="apple-style-span"/>
          <w:rFonts w:ascii="Arial Black" w:hAnsi="Arial Black"/>
          <w:b/>
          <w:color w:val="000000"/>
          <w:shd w:val="clear" w:color="auto" w:fill="FFFFFF"/>
          <w:lang w:val="tr-TR"/>
        </w:rPr>
        <w:t>Enflasyon ve Hayat Pahalılığı Dönem Raporu (Mart 2018)</w:t>
      </w:r>
    </w:p>
    <w:p w:rsidR="009A0713" w:rsidRPr="009A0713" w:rsidRDefault="009A0713" w:rsidP="009A0713">
      <w:pPr>
        <w:spacing w:after="0" w:line="240" w:lineRule="auto"/>
        <w:jc w:val="center"/>
        <w:rPr>
          <w:rStyle w:val="apple-style-span"/>
          <w:rFonts w:ascii="Arial Narrow" w:hAnsi="Arial Narrow"/>
          <w:b/>
          <w:color w:val="000000"/>
          <w:shd w:val="clear" w:color="auto" w:fill="FFFFFF"/>
          <w:lang w:val="tr-TR"/>
        </w:rPr>
      </w:pPr>
      <w:proofErr w:type="gramStart"/>
      <w:r w:rsidRPr="009A0713">
        <w:rPr>
          <w:rStyle w:val="apple-style-span"/>
          <w:rFonts w:ascii="Arial Narrow" w:hAnsi="Arial Narrow"/>
          <w:b/>
          <w:color w:val="000000"/>
          <w:shd w:val="clear" w:color="auto" w:fill="FFFFFF"/>
          <w:lang w:val="tr-TR"/>
        </w:rPr>
        <w:t>05/03/2018</w:t>
      </w:r>
      <w:proofErr w:type="gramEnd"/>
    </w:p>
    <w:p w:rsidR="009A0713" w:rsidRPr="009A0713" w:rsidRDefault="009A0713" w:rsidP="009A0713">
      <w:pPr>
        <w:spacing w:after="0" w:line="240" w:lineRule="auto"/>
        <w:rPr>
          <w:rStyle w:val="apple-style-span"/>
          <w:rFonts w:ascii="Arial Narrow" w:hAnsi="Arial Narrow"/>
          <w:b/>
          <w:color w:val="000000"/>
          <w:shd w:val="clear" w:color="auto" w:fill="FFFFFF"/>
          <w:lang w:val="tr-TR"/>
        </w:rPr>
      </w:pPr>
    </w:p>
    <w:p w:rsidR="009A0713" w:rsidRPr="009A0713" w:rsidRDefault="009A0713" w:rsidP="009A0713">
      <w:pPr>
        <w:pStyle w:val="ListeParagraf"/>
        <w:numPr>
          <w:ilvl w:val="0"/>
          <w:numId w:val="20"/>
        </w:numPr>
        <w:spacing w:after="0" w:line="240" w:lineRule="auto"/>
        <w:jc w:val="center"/>
        <w:rPr>
          <w:rStyle w:val="apple-style-span"/>
          <w:rFonts w:ascii="Arial Narrow" w:hAnsi="Arial Narrow"/>
          <w:b/>
          <w:color w:val="000000"/>
          <w:sz w:val="28"/>
          <w:szCs w:val="28"/>
          <w:shd w:val="clear" w:color="auto" w:fill="FFFFFF"/>
          <w:lang w:val="tr-TR"/>
        </w:rPr>
      </w:pPr>
      <w:r w:rsidRPr="009A0713">
        <w:rPr>
          <w:rStyle w:val="apple-style-span"/>
          <w:rFonts w:ascii="Arial Narrow" w:hAnsi="Arial Narrow"/>
          <w:b/>
          <w:color w:val="000000"/>
          <w:sz w:val="28"/>
          <w:szCs w:val="28"/>
          <w:shd w:val="clear" w:color="auto" w:fill="FFFFFF"/>
          <w:lang w:val="tr-TR"/>
        </w:rPr>
        <w:t>ŞUBAT AYI ENFLASYONU YOKSULU VE EMEKLİYİ VURDU</w:t>
      </w:r>
    </w:p>
    <w:p w:rsidR="009A0713" w:rsidRPr="009A0713" w:rsidRDefault="009A0713" w:rsidP="009A0713">
      <w:pPr>
        <w:pStyle w:val="ListeParagraf"/>
        <w:numPr>
          <w:ilvl w:val="0"/>
          <w:numId w:val="20"/>
        </w:numPr>
        <w:spacing w:after="0" w:line="240" w:lineRule="auto"/>
        <w:jc w:val="center"/>
        <w:rPr>
          <w:rStyle w:val="apple-style-span"/>
          <w:rFonts w:ascii="Arial Narrow" w:hAnsi="Arial Narrow"/>
          <w:b/>
          <w:color w:val="000000"/>
          <w:sz w:val="28"/>
          <w:szCs w:val="28"/>
          <w:shd w:val="clear" w:color="auto" w:fill="FFFFFF"/>
          <w:lang w:val="tr-TR"/>
        </w:rPr>
      </w:pPr>
      <w:r w:rsidRPr="009A0713">
        <w:rPr>
          <w:rStyle w:val="apple-style-span"/>
          <w:rFonts w:ascii="Arial Narrow" w:hAnsi="Arial Narrow"/>
          <w:b/>
          <w:color w:val="000000"/>
          <w:sz w:val="28"/>
          <w:szCs w:val="28"/>
          <w:shd w:val="clear" w:color="auto" w:fill="FFFFFF"/>
          <w:lang w:val="tr-TR"/>
        </w:rPr>
        <w:t>YOKSUL DAHA DA YOKSULLAŞTI</w:t>
      </w:r>
    </w:p>
    <w:p w:rsidR="009A0713" w:rsidRPr="009A0713" w:rsidRDefault="009A0713" w:rsidP="009A0713">
      <w:pPr>
        <w:pStyle w:val="ListeParagraf"/>
        <w:numPr>
          <w:ilvl w:val="0"/>
          <w:numId w:val="20"/>
        </w:numPr>
        <w:spacing w:after="0" w:line="240" w:lineRule="auto"/>
        <w:jc w:val="center"/>
        <w:rPr>
          <w:rStyle w:val="apple-style-span"/>
          <w:rFonts w:ascii="Arial Narrow" w:hAnsi="Arial Narrow"/>
          <w:b/>
          <w:color w:val="000000"/>
          <w:sz w:val="28"/>
          <w:szCs w:val="28"/>
          <w:shd w:val="clear" w:color="auto" w:fill="FFFFFF"/>
          <w:lang w:val="tr-TR"/>
        </w:rPr>
      </w:pPr>
      <w:r w:rsidRPr="009A0713">
        <w:rPr>
          <w:rStyle w:val="apple-style-span"/>
          <w:rFonts w:ascii="Arial Narrow" w:hAnsi="Arial Narrow"/>
          <w:b/>
          <w:color w:val="000000"/>
          <w:sz w:val="28"/>
          <w:szCs w:val="28"/>
          <w:shd w:val="clear" w:color="auto" w:fill="FFFFFF"/>
          <w:lang w:val="tr-TR"/>
        </w:rPr>
        <w:t>YEVMİYELİLERDE GİZLİ YOKSULLAŞMA YÜZDE 13 OLDU</w:t>
      </w:r>
    </w:p>
    <w:p w:rsidR="009A0713" w:rsidRPr="009A0713" w:rsidRDefault="009A0713" w:rsidP="009A0713">
      <w:pPr>
        <w:pStyle w:val="ListeParagraf"/>
        <w:numPr>
          <w:ilvl w:val="0"/>
          <w:numId w:val="20"/>
        </w:numPr>
        <w:spacing w:after="0" w:line="240" w:lineRule="auto"/>
        <w:jc w:val="center"/>
        <w:rPr>
          <w:rStyle w:val="apple-style-span"/>
          <w:rFonts w:ascii="Arial Narrow" w:hAnsi="Arial Narrow"/>
          <w:b/>
          <w:color w:val="000000"/>
          <w:sz w:val="28"/>
          <w:szCs w:val="28"/>
          <w:shd w:val="clear" w:color="auto" w:fill="FFFFFF"/>
          <w:lang w:val="tr-TR"/>
        </w:rPr>
      </w:pPr>
      <w:r w:rsidRPr="009A0713">
        <w:rPr>
          <w:rStyle w:val="apple-style-span"/>
          <w:rFonts w:ascii="Arial Narrow" w:hAnsi="Arial Narrow"/>
          <w:b/>
          <w:color w:val="000000"/>
          <w:sz w:val="28"/>
          <w:szCs w:val="28"/>
          <w:shd w:val="clear" w:color="auto" w:fill="FFFFFF"/>
          <w:lang w:val="tr-TR"/>
        </w:rPr>
        <w:t>ENFLASYONA EZDİRMEYEN ÜCRETLER, FİYAT ARTIŞLARINA YENİLDİ</w:t>
      </w:r>
    </w:p>
    <w:p w:rsidR="009A0713" w:rsidRPr="009A0713" w:rsidRDefault="009A0713" w:rsidP="009A0713">
      <w:pPr>
        <w:spacing w:after="0" w:line="240" w:lineRule="auto"/>
        <w:jc w:val="center"/>
        <w:rPr>
          <w:rStyle w:val="apple-style-span"/>
          <w:rFonts w:asciiTheme="majorHAnsi" w:hAnsiTheme="majorHAnsi"/>
          <w:color w:val="000000"/>
          <w:shd w:val="clear" w:color="auto" w:fill="FFFFFF"/>
          <w:lang w:val="tr-TR"/>
        </w:rPr>
      </w:pPr>
    </w:p>
    <w:p w:rsidR="009A0713" w:rsidRPr="009A0713" w:rsidRDefault="009A0713" w:rsidP="009A0713">
      <w:pPr>
        <w:spacing w:after="0" w:line="240" w:lineRule="auto"/>
        <w:ind w:firstLine="567"/>
        <w:jc w:val="both"/>
        <w:rPr>
          <w:rStyle w:val="apple-style-span"/>
          <w:rFonts w:asciiTheme="majorHAnsi" w:hAnsiTheme="majorHAnsi"/>
          <w:color w:val="000000"/>
          <w:shd w:val="clear" w:color="auto" w:fill="FFFFFF"/>
          <w:lang w:val="tr-TR"/>
        </w:rPr>
      </w:pPr>
      <w:r w:rsidRPr="009A0713">
        <w:rPr>
          <w:rStyle w:val="apple-style-span"/>
          <w:rFonts w:asciiTheme="majorHAnsi" w:hAnsiTheme="majorHAnsi"/>
          <w:color w:val="000000"/>
          <w:shd w:val="clear" w:color="auto" w:fill="FFFFFF"/>
          <w:lang w:val="tr-TR"/>
        </w:rPr>
        <w:t xml:space="preserve">Birleşik Metal İş Sendikası Sınıf Araştırmaları Merkezi (BİSAM) tarafından hazırlanan Enflasyon ve Hayat Pahalılığı Mart 2018 Dönem Raporu’nun sonuçlarına göre TÜİK tarafından aylık yüzde 0.73 olarak açıklanan Tüketici Fiyat Endeksi’ndeki artış en yoksul yüzde 20’lik dilim için yüzde </w:t>
      </w:r>
      <w:proofErr w:type="gramStart"/>
      <w:r w:rsidRPr="009A0713">
        <w:rPr>
          <w:rStyle w:val="apple-style-span"/>
          <w:rFonts w:asciiTheme="majorHAnsi" w:hAnsiTheme="majorHAnsi"/>
          <w:color w:val="000000"/>
          <w:shd w:val="clear" w:color="auto" w:fill="FFFFFF"/>
          <w:lang w:val="tr-TR"/>
        </w:rPr>
        <w:t>0.9</w:t>
      </w:r>
      <w:proofErr w:type="gramEnd"/>
      <w:r w:rsidRPr="009A0713">
        <w:rPr>
          <w:rStyle w:val="apple-style-span"/>
          <w:rFonts w:asciiTheme="majorHAnsi" w:hAnsiTheme="majorHAnsi"/>
          <w:color w:val="000000"/>
          <w:shd w:val="clear" w:color="auto" w:fill="FFFFFF"/>
          <w:lang w:val="tr-TR"/>
        </w:rPr>
        <w:t xml:space="preserve">, emekliler için yüzde 0.91 olarak gerçekleşti. Ocak ve Şubat ayları için enflasyon yüzde 1.76 olurken, emekli bu iki ay için enflasyonu yüzde 2.24 olarak hissetti. En yoksul yüzde 20’lik kesim için aylık enflasyon yüzde </w:t>
      </w:r>
      <w:proofErr w:type="gramStart"/>
      <w:r w:rsidRPr="009A0713">
        <w:rPr>
          <w:rStyle w:val="apple-style-span"/>
          <w:rFonts w:asciiTheme="majorHAnsi" w:hAnsiTheme="majorHAnsi"/>
          <w:color w:val="000000"/>
          <w:shd w:val="clear" w:color="auto" w:fill="FFFFFF"/>
          <w:lang w:val="tr-TR"/>
        </w:rPr>
        <w:t>0.9</w:t>
      </w:r>
      <w:proofErr w:type="gramEnd"/>
      <w:r w:rsidRPr="009A0713">
        <w:rPr>
          <w:rStyle w:val="apple-style-span"/>
          <w:rFonts w:asciiTheme="majorHAnsi" w:hAnsiTheme="majorHAnsi"/>
          <w:color w:val="000000"/>
          <w:shd w:val="clear" w:color="auto" w:fill="FFFFFF"/>
          <w:lang w:val="tr-TR"/>
        </w:rPr>
        <w:t xml:space="preserve"> olurken, en zengin yüzde 20’lik dilim için aylık enflasyon yüzde 0.7 olarak gerçekleşti.</w:t>
      </w:r>
    </w:p>
    <w:p w:rsidR="009A0713" w:rsidRPr="009A0713" w:rsidRDefault="009A0713" w:rsidP="009A0713">
      <w:pPr>
        <w:spacing w:after="0" w:line="240" w:lineRule="auto"/>
        <w:ind w:firstLine="567"/>
        <w:jc w:val="both"/>
        <w:rPr>
          <w:rStyle w:val="apple-style-span"/>
          <w:rFonts w:asciiTheme="majorHAnsi" w:hAnsiTheme="majorHAnsi"/>
          <w:color w:val="000000"/>
          <w:shd w:val="clear" w:color="auto" w:fill="FFFFFF"/>
          <w:lang w:val="tr-TR"/>
        </w:rPr>
      </w:pPr>
      <w:r w:rsidRPr="009A0713">
        <w:rPr>
          <w:rStyle w:val="apple-style-span"/>
          <w:rFonts w:asciiTheme="majorHAnsi" w:hAnsiTheme="majorHAnsi"/>
          <w:color w:val="000000"/>
          <w:shd w:val="clear" w:color="auto" w:fill="FFFFFF"/>
          <w:lang w:val="tr-TR"/>
        </w:rPr>
        <w:t xml:space="preserve">TÜFE’deki yıllık artış yüzde 10.26 olurken, düzenli ücretli çalışanlarda yüzde 10.72 oldu. Yıllık fiyat artışları bu dönem için üst gelir gruplarında daha fazla hissedildi. Yıllık enflasyon (TÜFE) mesleğe göre ise profesyonel meslek grupları için yüzde 11.34 olarak gerçekleşti. </w:t>
      </w:r>
    </w:p>
    <w:p w:rsidR="009A0713" w:rsidRPr="009A0713" w:rsidRDefault="009A0713" w:rsidP="009A0713">
      <w:pPr>
        <w:spacing w:after="0" w:line="240" w:lineRule="auto"/>
        <w:ind w:firstLine="567"/>
        <w:jc w:val="both"/>
        <w:rPr>
          <w:rStyle w:val="apple-style-span"/>
          <w:rFonts w:asciiTheme="majorHAnsi" w:hAnsiTheme="majorHAnsi"/>
          <w:color w:val="000000"/>
          <w:shd w:val="clear" w:color="auto" w:fill="FFFFFF"/>
          <w:lang w:val="tr-TR"/>
        </w:rPr>
      </w:pPr>
      <w:r w:rsidRPr="009A0713">
        <w:rPr>
          <w:rStyle w:val="apple-style-span"/>
          <w:rFonts w:asciiTheme="majorHAnsi" w:hAnsiTheme="majorHAnsi"/>
          <w:color w:val="000000"/>
          <w:shd w:val="clear" w:color="auto" w:fill="FFFFFF"/>
          <w:lang w:val="tr-TR"/>
        </w:rPr>
        <w:t xml:space="preserve">AKP hükümetleri döneminde enflasyon (Mart 2003-Mart 2018 dönemi) yüzde 246 artarken, düzenli ücretli çalışanlar fiyat artışlarını yüzde 274 olarak hissetti. Buna göre son 15 yılda, enflasyon oranında, yani “enflasyona ezdirmeyen” bir ücret artışıyla yetinen bir ücretli, alım gücünü yüzde </w:t>
      </w:r>
      <w:proofErr w:type="gramStart"/>
      <w:r w:rsidRPr="009A0713">
        <w:rPr>
          <w:rStyle w:val="apple-style-span"/>
          <w:rFonts w:asciiTheme="majorHAnsi" w:hAnsiTheme="majorHAnsi"/>
          <w:color w:val="000000"/>
          <w:shd w:val="clear" w:color="auto" w:fill="FFFFFF"/>
          <w:lang w:val="tr-TR"/>
        </w:rPr>
        <w:t>8.3</w:t>
      </w:r>
      <w:proofErr w:type="gramEnd"/>
      <w:r w:rsidRPr="009A0713">
        <w:rPr>
          <w:rStyle w:val="apple-style-span"/>
          <w:rFonts w:asciiTheme="majorHAnsi" w:hAnsiTheme="majorHAnsi"/>
          <w:color w:val="000000"/>
          <w:shd w:val="clear" w:color="auto" w:fill="FFFFFF"/>
          <w:lang w:val="tr-TR"/>
        </w:rPr>
        <w:t xml:space="preserve"> kaybetti. Bu kayıp istatistiklere yansımadı. Kayıtlara yansımayan gizli yoksullaşma en çok yevmiyeli/gündelik çalışanları etkiledi. Enflasyon hesaplamasından kaynaklı olarak gizli yoksullaşma oranı yevmiyeli/gündelik çalışanlarda yüzde 13 oldu. </w:t>
      </w:r>
    </w:p>
    <w:p w:rsidR="009A0713" w:rsidRPr="009A0713" w:rsidRDefault="009A0713" w:rsidP="009A0713">
      <w:pPr>
        <w:spacing w:after="0" w:line="240" w:lineRule="auto"/>
        <w:ind w:firstLine="567"/>
        <w:jc w:val="both"/>
        <w:rPr>
          <w:rStyle w:val="apple-style-span"/>
          <w:rFonts w:asciiTheme="majorHAnsi" w:hAnsiTheme="majorHAnsi"/>
          <w:color w:val="000000"/>
          <w:shd w:val="clear" w:color="auto" w:fill="FFFFFF"/>
          <w:lang w:val="tr-TR"/>
        </w:rPr>
      </w:pPr>
      <w:r w:rsidRPr="009A0713">
        <w:rPr>
          <w:rStyle w:val="apple-style-span"/>
          <w:rFonts w:asciiTheme="majorHAnsi" w:hAnsiTheme="majorHAnsi"/>
          <w:color w:val="000000"/>
          <w:shd w:val="clear" w:color="auto" w:fill="FFFFFF"/>
          <w:lang w:val="tr-TR"/>
        </w:rPr>
        <w:t xml:space="preserve">Enflasyon hesaplamasından toplumun tüm kesimleri olumsuz olarak etkilenirken, gizli yoksullaşma en yoksul yüzde 20’lik kesim için yüzde </w:t>
      </w:r>
      <w:proofErr w:type="gramStart"/>
      <w:r w:rsidRPr="009A0713">
        <w:rPr>
          <w:rStyle w:val="apple-style-span"/>
          <w:rFonts w:asciiTheme="majorHAnsi" w:hAnsiTheme="majorHAnsi"/>
          <w:color w:val="000000"/>
          <w:shd w:val="clear" w:color="auto" w:fill="FFFFFF"/>
          <w:lang w:val="tr-TR"/>
        </w:rPr>
        <w:t>11.4</w:t>
      </w:r>
      <w:proofErr w:type="gramEnd"/>
      <w:r w:rsidRPr="009A0713">
        <w:rPr>
          <w:rStyle w:val="apple-style-span"/>
          <w:rFonts w:asciiTheme="majorHAnsi" w:hAnsiTheme="majorHAnsi"/>
          <w:color w:val="000000"/>
          <w:shd w:val="clear" w:color="auto" w:fill="FFFFFF"/>
          <w:lang w:val="tr-TR"/>
        </w:rPr>
        <w:t xml:space="preserve">, en zengin yüzde 20’lik kesim için ise yüzde 6.8 olarak gerçekleşti. </w:t>
      </w:r>
    </w:p>
    <w:p w:rsidR="009A0713" w:rsidRPr="009A0713" w:rsidRDefault="009A0713" w:rsidP="009A0713">
      <w:pPr>
        <w:spacing w:after="0" w:line="240" w:lineRule="auto"/>
        <w:ind w:firstLine="567"/>
        <w:jc w:val="both"/>
        <w:rPr>
          <w:rStyle w:val="apple-style-span"/>
          <w:rFonts w:asciiTheme="majorHAnsi" w:hAnsiTheme="majorHAnsi"/>
          <w:color w:val="000000"/>
          <w:shd w:val="clear" w:color="auto" w:fill="FFFFFF"/>
          <w:lang w:val="tr-TR"/>
        </w:rPr>
      </w:pPr>
      <w:r w:rsidRPr="009A0713">
        <w:rPr>
          <w:rStyle w:val="apple-style-span"/>
          <w:rFonts w:asciiTheme="majorHAnsi" w:hAnsiTheme="majorHAnsi"/>
          <w:color w:val="000000"/>
          <w:shd w:val="clear" w:color="auto" w:fill="FFFFFF"/>
          <w:lang w:val="tr-TR"/>
        </w:rPr>
        <w:t xml:space="preserve">Fiyat artışları, toplumun her kesimi için, yapılan harcamanın içeriğine bağlı olarak farklı yansıyor. Örneğin gıda fiyatlarındaki artış dar gelirliyi daha fazla etkilerken, araba fiyatlarındaki artış üst gelir gruplarını daha fazla etkiliyor. Buna karşın tüm gelir grupları için tek bir Tüketici Fiyat Endeksi açıklanıyor. Bunun bir sonucu olarak yaşadığımız enflasyon resmi enflasyon ile uyumsuzluk gösteriyor. </w:t>
      </w:r>
    </w:p>
    <w:p w:rsidR="009A0713" w:rsidRPr="009A0713" w:rsidRDefault="009A0713" w:rsidP="009A0713">
      <w:pPr>
        <w:spacing w:before="240" w:after="0" w:line="240" w:lineRule="auto"/>
        <w:ind w:left="567"/>
        <w:jc w:val="both"/>
        <w:rPr>
          <w:rStyle w:val="apple-style-span"/>
          <w:rFonts w:ascii="Arial Narrow" w:hAnsi="Arial Narrow"/>
          <w:b/>
          <w:color w:val="000000"/>
          <w:sz w:val="28"/>
          <w:szCs w:val="28"/>
          <w:shd w:val="clear" w:color="auto" w:fill="FFFFFF"/>
          <w:lang w:val="tr-TR"/>
        </w:rPr>
      </w:pPr>
      <w:r w:rsidRPr="009A0713">
        <w:rPr>
          <w:rStyle w:val="apple-style-span"/>
          <w:rFonts w:ascii="Arial Narrow" w:hAnsi="Arial Narrow"/>
          <w:b/>
          <w:color w:val="000000"/>
          <w:sz w:val="28"/>
          <w:szCs w:val="28"/>
          <w:shd w:val="clear" w:color="auto" w:fill="FFFFFF"/>
          <w:lang w:val="tr-TR"/>
        </w:rPr>
        <w:t>SONUÇ</w:t>
      </w:r>
    </w:p>
    <w:p w:rsidR="009A0713" w:rsidRPr="009A0713" w:rsidRDefault="009A0713" w:rsidP="009A0713">
      <w:pPr>
        <w:spacing w:after="0" w:line="240" w:lineRule="auto"/>
        <w:ind w:firstLine="567"/>
        <w:jc w:val="both"/>
        <w:rPr>
          <w:rFonts w:asciiTheme="majorHAnsi" w:hAnsiTheme="majorHAnsi"/>
          <w:color w:val="000000"/>
          <w:shd w:val="clear" w:color="auto" w:fill="FFFFFF"/>
          <w:lang w:val="tr-TR"/>
        </w:rPr>
      </w:pPr>
      <w:r w:rsidRPr="009A0713">
        <w:rPr>
          <w:rStyle w:val="apple-style-span"/>
          <w:rFonts w:asciiTheme="majorHAnsi" w:hAnsiTheme="majorHAnsi"/>
          <w:color w:val="000000"/>
          <w:shd w:val="clear" w:color="auto" w:fill="FFFFFF"/>
          <w:lang w:val="tr-TR"/>
        </w:rPr>
        <w:t>Enflasyondaki hareketler doğrudan doğruya alım gücüne etki eden bir role sahip. K</w:t>
      </w:r>
      <w:r w:rsidRPr="009A0713">
        <w:rPr>
          <w:rFonts w:asciiTheme="majorHAnsi" w:hAnsiTheme="majorHAnsi"/>
          <w:lang w:val="tr-TR"/>
        </w:rPr>
        <w:t>işinin kendi yaptığı harcama kalemlerindeki fiyat artışları (enflasyonu) ile resmi Tüketici Fiyat Endeksi arasındaki fark istatistiklere yansımayan bir yoksulluğa neden olmaktadır. Aynı zamanda sepete her yıl müdahaleye olanak tanıyan yöntem, sonuçların güvenilirliği açısından soru işaretlerine neden olmaktadır. Dar gelirli için ağırlığı son derece önemli olan kira ve gıdanın, sepetteki ağırlığının sistematik olarak azalması enflasyon verileri üzerinden yaşanan tartışmaları artırmaktadır. Bu nedenle;</w:t>
      </w:r>
    </w:p>
    <w:p w:rsidR="009A0713" w:rsidRPr="009A0713" w:rsidRDefault="009A0713" w:rsidP="009A0713">
      <w:pPr>
        <w:pStyle w:val="NormalWeb"/>
        <w:numPr>
          <w:ilvl w:val="0"/>
          <w:numId w:val="15"/>
        </w:numPr>
        <w:spacing w:before="0" w:beforeAutospacing="0" w:after="0" w:afterAutospacing="0"/>
        <w:jc w:val="both"/>
        <w:rPr>
          <w:rFonts w:asciiTheme="majorHAnsi" w:hAnsiTheme="majorHAnsi"/>
          <w:color w:val="000000"/>
          <w:sz w:val="22"/>
          <w:szCs w:val="22"/>
          <w:shd w:val="clear" w:color="auto" w:fill="FFFFFF"/>
        </w:rPr>
      </w:pPr>
      <w:r w:rsidRPr="009A0713">
        <w:rPr>
          <w:rFonts w:asciiTheme="majorHAnsi" w:hAnsiTheme="majorHAnsi"/>
          <w:color w:val="000000"/>
          <w:sz w:val="22"/>
          <w:szCs w:val="22"/>
          <w:shd w:val="clear" w:color="auto" w:fill="FFFFFF"/>
        </w:rPr>
        <w:t>Ücret artışı dönemlerinde, ücretlilerinin harcama alışkanlıkları dikkate alınarak ayrı bir endeks oluşturulmalıdır.</w:t>
      </w:r>
    </w:p>
    <w:p w:rsidR="009A0713" w:rsidRPr="009A0713" w:rsidRDefault="009A0713" w:rsidP="009A0713">
      <w:pPr>
        <w:pStyle w:val="NormalWeb"/>
        <w:numPr>
          <w:ilvl w:val="0"/>
          <w:numId w:val="15"/>
        </w:numPr>
        <w:spacing w:before="0" w:beforeAutospacing="0" w:after="0" w:afterAutospacing="0"/>
        <w:jc w:val="both"/>
        <w:rPr>
          <w:rFonts w:asciiTheme="majorHAnsi" w:hAnsiTheme="majorHAnsi"/>
          <w:color w:val="000000"/>
          <w:sz w:val="22"/>
          <w:szCs w:val="22"/>
          <w:shd w:val="clear" w:color="auto" w:fill="FFFFFF"/>
        </w:rPr>
      </w:pPr>
      <w:r w:rsidRPr="009A0713">
        <w:rPr>
          <w:rFonts w:asciiTheme="majorHAnsi" w:hAnsiTheme="majorHAnsi"/>
          <w:color w:val="000000"/>
          <w:sz w:val="22"/>
          <w:szCs w:val="22"/>
          <w:shd w:val="clear" w:color="auto" w:fill="FFFFFF"/>
        </w:rPr>
        <w:t xml:space="preserve">Toplum tarafından yaygın olarak kullanılmadığı halde, yüksek değer taşıdığı için enflasyonu önemi oranda etkileyen ürünlerin mal sepetindeki ağırlığı gözden geçirilmeli, teknolojik gelişmeye koşut olarak fiyatları sürekli olarak gerileyen ürünler gelir gruplarının tüketim ölçütleri üzerinden ele alınmalıdır. </w:t>
      </w:r>
    </w:p>
    <w:p w:rsidR="009A0713" w:rsidRPr="009A0713" w:rsidRDefault="009A0713" w:rsidP="009A0713">
      <w:pPr>
        <w:pStyle w:val="NormalWeb"/>
        <w:numPr>
          <w:ilvl w:val="0"/>
          <w:numId w:val="15"/>
        </w:numPr>
        <w:spacing w:before="0" w:beforeAutospacing="0" w:after="0" w:afterAutospacing="0"/>
        <w:jc w:val="both"/>
        <w:rPr>
          <w:rFonts w:asciiTheme="majorHAnsi" w:hAnsiTheme="majorHAnsi"/>
          <w:color w:val="000000"/>
          <w:sz w:val="22"/>
          <w:szCs w:val="22"/>
          <w:shd w:val="clear" w:color="auto" w:fill="FFFFFF"/>
        </w:rPr>
      </w:pPr>
      <w:r w:rsidRPr="009A0713">
        <w:rPr>
          <w:rFonts w:asciiTheme="majorHAnsi" w:hAnsiTheme="majorHAnsi"/>
          <w:color w:val="000000"/>
          <w:sz w:val="22"/>
          <w:szCs w:val="22"/>
          <w:shd w:val="clear" w:color="auto" w:fill="FFFFFF"/>
        </w:rPr>
        <w:t xml:space="preserve">Her türlü sübjektif müdahaleye açık olan yıllık sepet değişiminden vaz geçilmeli. Sepetteki değişiklikler 3’er yıllık dönemler halinde gerçekleştirilmelidir. </w:t>
      </w:r>
    </w:p>
    <w:p w:rsidR="009A0713" w:rsidRPr="009A0713" w:rsidRDefault="009A0713" w:rsidP="009A0713">
      <w:pPr>
        <w:pStyle w:val="NormalWeb"/>
        <w:numPr>
          <w:ilvl w:val="0"/>
          <w:numId w:val="15"/>
        </w:numPr>
        <w:spacing w:before="0" w:beforeAutospacing="0" w:after="0" w:afterAutospacing="0"/>
        <w:jc w:val="both"/>
        <w:rPr>
          <w:rFonts w:asciiTheme="majorHAnsi" w:hAnsiTheme="majorHAnsi"/>
          <w:color w:val="000000"/>
          <w:sz w:val="22"/>
          <w:szCs w:val="22"/>
          <w:shd w:val="clear" w:color="auto" w:fill="FFFFFF"/>
        </w:rPr>
      </w:pPr>
      <w:r w:rsidRPr="009A0713">
        <w:rPr>
          <w:rFonts w:asciiTheme="majorHAnsi" w:hAnsiTheme="majorHAnsi"/>
          <w:color w:val="000000"/>
          <w:sz w:val="22"/>
          <w:szCs w:val="22"/>
          <w:shd w:val="clear" w:color="auto" w:fill="FFFFFF"/>
        </w:rPr>
        <w:lastRenderedPageBreak/>
        <w:t>İstatistik konseyinin kapsamı genişletilerek emek örgütlerinin katılımı ve denetimi sağlanmalıdır.</w:t>
      </w:r>
    </w:p>
    <w:p w:rsidR="009A0713" w:rsidRPr="009A0713" w:rsidRDefault="009A0713" w:rsidP="009A0713">
      <w:pPr>
        <w:pStyle w:val="NormalWeb"/>
        <w:numPr>
          <w:ilvl w:val="0"/>
          <w:numId w:val="15"/>
        </w:numPr>
        <w:spacing w:before="0" w:beforeAutospacing="0" w:after="0" w:afterAutospacing="0"/>
        <w:jc w:val="both"/>
        <w:rPr>
          <w:rFonts w:asciiTheme="majorHAnsi" w:hAnsiTheme="majorHAnsi"/>
          <w:color w:val="000000"/>
          <w:sz w:val="22"/>
          <w:szCs w:val="22"/>
          <w:shd w:val="clear" w:color="auto" w:fill="FFFFFF"/>
        </w:rPr>
      </w:pPr>
      <w:r w:rsidRPr="009A0713">
        <w:rPr>
          <w:rFonts w:asciiTheme="majorHAnsi" w:hAnsiTheme="majorHAnsi"/>
          <w:color w:val="000000"/>
          <w:sz w:val="22"/>
          <w:szCs w:val="22"/>
          <w:shd w:val="clear" w:color="auto" w:fill="FFFFFF"/>
        </w:rPr>
        <w:t xml:space="preserve">Hükümetin </w:t>
      </w:r>
      <w:proofErr w:type="spellStart"/>
      <w:r w:rsidRPr="009A0713">
        <w:rPr>
          <w:rFonts w:asciiTheme="majorHAnsi" w:hAnsiTheme="majorHAnsi"/>
          <w:color w:val="000000"/>
          <w:sz w:val="22"/>
          <w:szCs w:val="22"/>
          <w:shd w:val="clear" w:color="auto" w:fill="FFFFFF"/>
        </w:rPr>
        <w:t>TÜİK’e</w:t>
      </w:r>
      <w:proofErr w:type="spellEnd"/>
      <w:r w:rsidRPr="009A0713">
        <w:rPr>
          <w:rFonts w:asciiTheme="majorHAnsi" w:hAnsiTheme="majorHAnsi"/>
          <w:color w:val="000000"/>
          <w:sz w:val="22"/>
          <w:szCs w:val="22"/>
          <w:shd w:val="clear" w:color="auto" w:fill="FFFFFF"/>
        </w:rPr>
        <w:t xml:space="preserve"> müdahalesi anlamına gelecek yaklaşımlardan ve söylemlerden uzak durulmalıdır.</w:t>
      </w:r>
    </w:p>
    <w:p w:rsidR="009A0713" w:rsidRPr="009A0713" w:rsidRDefault="009A0713" w:rsidP="009A0713">
      <w:pPr>
        <w:spacing w:before="240" w:after="0" w:line="240" w:lineRule="auto"/>
        <w:ind w:left="567"/>
        <w:jc w:val="both"/>
        <w:rPr>
          <w:rStyle w:val="apple-style-span"/>
          <w:rFonts w:ascii="Arial Narrow" w:hAnsi="Arial Narrow"/>
          <w:b/>
          <w:color w:val="000000"/>
          <w:sz w:val="28"/>
          <w:szCs w:val="28"/>
          <w:shd w:val="clear" w:color="auto" w:fill="FFFFFF"/>
          <w:lang w:val="tr-TR"/>
        </w:rPr>
      </w:pPr>
      <w:r w:rsidRPr="009A0713">
        <w:rPr>
          <w:rStyle w:val="apple-style-span"/>
          <w:rFonts w:ascii="Arial Narrow" w:hAnsi="Arial Narrow"/>
          <w:b/>
          <w:color w:val="000000"/>
          <w:sz w:val="28"/>
          <w:szCs w:val="28"/>
          <w:shd w:val="clear" w:color="auto" w:fill="FFFFFF"/>
          <w:lang w:val="tr-TR"/>
        </w:rPr>
        <w:t>ARAŞTIRMANIN YÖNTEMİ</w:t>
      </w:r>
    </w:p>
    <w:p w:rsidR="009A0713" w:rsidRPr="009A0713" w:rsidRDefault="009A0713" w:rsidP="009A0713">
      <w:pPr>
        <w:spacing w:after="0" w:line="240" w:lineRule="auto"/>
        <w:ind w:firstLine="567"/>
        <w:jc w:val="both"/>
        <w:rPr>
          <w:rStyle w:val="apple-style-span"/>
          <w:rFonts w:asciiTheme="majorHAnsi" w:hAnsiTheme="majorHAnsi"/>
          <w:color w:val="000000"/>
          <w:shd w:val="clear" w:color="auto" w:fill="FFFFFF"/>
          <w:lang w:val="tr-TR"/>
        </w:rPr>
      </w:pPr>
      <w:r w:rsidRPr="009A0713">
        <w:rPr>
          <w:rStyle w:val="apple-style-span"/>
          <w:rFonts w:asciiTheme="majorHAnsi" w:hAnsiTheme="majorHAnsi"/>
          <w:color w:val="000000"/>
          <w:shd w:val="clear" w:color="auto" w:fill="FFFFFF"/>
          <w:lang w:val="tr-TR"/>
        </w:rPr>
        <w:t>TÜİK Tüketim Harcamaları İstatistikleri ve TÜİK Tüketici Fiyat Endeksi Harcama Gruplarına Göre Endeks Sonuçları üzerinden, farklı harcama gruplarının tüketim kalıpları dikkate alınarak, enflasyon kalıpları oluşturulmakta, bu kalıplar üzerinden farklı gruplara göre enflasyon verileri hesaplanmaktadır. Gizli yoksullaşma oranı resmi TÜFE verileri ile farklı gruplar için hesaplanmış enflasyon oranlarındaki fark dikkate alınarak tespit edilmektedir.</w:t>
      </w:r>
      <w:r>
        <w:rPr>
          <w:rStyle w:val="apple-style-span"/>
          <w:rFonts w:asciiTheme="majorHAnsi" w:hAnsiTheme="majorHAnsi"/>
          <w:color w:val="000000"/>
          <w:shd w:val="clear" w:color="auto" w:fill="FFFFFF"/>
          <w:lang w:val="tr-TR"/>
        </w:rPr>
        <w:t xml:space="preserve"> </w:t>
      </w:r>
    </w:p>
    <w:p w:rsidR="009A0713" w:rsidRPr="009A0713" w:rsidRDefault="009A0713" w:rsidP="009A0713">
      <w:pPr>
        <w:spacing w:after="0" w:line="240" w:lineRule="auto"/>
        <w:jc w:val="both"/>
        <w:rPr>
          <w:rStyle w:val="apple-style-span"/>
          <w:rFonts w:asciiTheme="majorHAnsi" w:hAnsiTheme="majorHAnsi"/>
          <w:color w:val="000000"/>
          <w:shd w:val="clear" w:color="auto" w:fill="FFFFFF"/>
          <w:lang w:val="tr-TR"/>
        </w:rPr>
      </w:pPr>
    </w:p>
    <w:p w:rsidR="009A0713" w:rsidRPr="009A0713" w:rsidRDefault="009A0713" w:rsidP="009A0713">
      <w:pPr>
        <w:spacing w:after="0" w:line="240" w:lineRule="auto"/>
        <w:jc w:val="both"/>
        <w:rPr>
          <w:rStyle w:val="apple-style-span"/>
          <w:rFonts w:ascii="Arial Narrow" w:hAnsi="Arial Narrow"/>
          <w:b/>
          <w:color w:val="000000"/>
          <w:shd w:val="clear" w:color="auto" w:fill="FFFFFF"/>
          <w:lang w:val="tr-TR"/>
        </w:rPr>
      </w:pPr>
      <w:r w:rsidRPr="009A0713">
        <w:rPr>
          <w:rStyle w:val="apple-style-span"/>
          <w:rFonts w:ascii="Arial Narrow" w:hAnsi="Arial Narrow"/>
          <w:b/>
          <w:color w:val="000000"/>
          <w:shd w:val="clear" w:color="auto" w:fill="FFFFFF"/>
          <w:lang w:val="tr-TR"/>
        </w:rPr>
        <w:t xml:space="preserve">TABLO 1- Gelir ve statüye göre enflasyon oranları </w:t>
      </w:r>
    </w:p>
    <w:tbl>
      <w:tblPr>
        <w:tblW w:w="10172" w:type="dxa"/>
        <w:tblInd w:w="-118" w:type="dxa"/>
        <w:tblBorders>
          <w:top w:val="nil"/>
          <w:left w:val="nil"/>
          <w:right w:val="nil"/>
        </w:tblBorders>
        <w:tblLayout w:type="fixed"/>
        <w:tblCellMar>
          <w:left w:w="70" w:type="dxa"/>
          <w:right w:w="70" w:type="dxa"/>
        </w:tblCellMar>
        <w:tblLook w:val="0000" w:firstRow="0" w:lastRow="0" w:firstColumn="0" w:lastColumn="0" w:noHBand="0" w:noVBand="0"/>
      </w:tblPr>
      <w:tblGrid>
        <w:gridCol w:w="5140"/>
        <w:gridCol w:w="1347"/>
        <w:gridCol w:w="898"/>
        <w:gridCol w:w="1795"/>
        <w:gridCol w:w="992"/>
      </w:tblGrid>
      <w:tr w:rsidR="009A0713" w:rsidRPr="009A0713" w:rsidTr="009A0713">
        <w:tc>
          <w:tcPr>
            <w:tcW w:w="5140" w:type="dxa"/>
            <w:tcBorders>
              <w:top w:val="single" w:sz="8" w:space="0" w:color="000000"/>
              <w:left w:val="single" w:sz="8" w:space="0" w:color="000000"/>
              <w:bottom w:val="single" w:sz="8" w:space="0" w:color="000000"/>
              <w:right w:val="single" w:sz="8" w:space="0" w:color="000000"/>
            </w:tcBorders>
            <w:shd w:val="clear" w:color="auto" w:fill="3F6CAF"/>
            <w:vAlign w:val="bottom"/>
          </w:tcPr>
          <w:p w:rsidR="009A0713" w:rsidRPr="009A0713" w:rsidRDefault="009A0713" w:rsidP="009A0713">
            <w:pPr>
              <w:autoSpaceDE w:val="0"/>
              <w:autoSpaceDN w:val="0"/>
              <w:adjustRightInd w:val="0"/>
              <w:spacing w:after="0" w:line="240" w:lineRule="auto"/>
              <w:rPr>
                <w:rFonts w:asciiTheme="majorHAnsi" w:hAnsiTheme="majorHAnsi" w:cs="Arial"/>
                <w:b/>
                <w:bCs/>
                <w:color w:val="FFFFFF"/>
                <w:lang w:val="tr-TR"/>
              </w:rPr>
            </w:pPr>
            <w:r w:rsidRPr="009A0713">
              <w:rPr>
                <w:rFonts w:asciiTheme="majorHAnsi" w:hAnsiTheme="majorHAnsi" w:cs="Arial"/>
                <w:b/>
                <w:bCs/>
                <w:color w:val="FFFFFF"/>
                <w:lang w:val="tr-TR"/>
              </w:rPr>
              <w:t>GELİR GRUPLARI</w:t>
            </w:r>
          </w:p>
        </w:tc>
        <w:tc>
          <w:tcPr>
            <w:tcW w:w="1347" w:type="dxa"/>
            <w:tcBorders>
              <w:top w:val="single" w:sz="8" w:space="0" w:color="000000"/>
              <w:left w:val="single" w:sz="8" w:space="0" w:color="000000"/>
              <w:bottom w:val="single" w:sz="8" w:space="0" w:color="000000"/>
              <w:right w:val="single" w:sz="8" w:space="0" w:color="000000"/>
            </w:tcBorders>
            <w:shd w:val="clear" w:color="auto" w:fill="3F6CAF"/>
            <w:vAlign w:val="bottom"/>
          </w:tcPr>
          <w:p w:rsidR="009A0713" w:rsidRPr="009A0713" w:rsidRDefault="009A0713" w:rsidP="009A0713">
            <w:pPr>
              <w:autoSpaceDE w:val="0"/>
              <w:autoSpaceDN w:val="0"/>
              <w:adjustRightInd w:val="0"/>
              <w:spacing w:after="0" w:line="240" w:lineRule="auto"/>
              <w:rPr>
                <w:rFonts w:asciiTheme="majorHAnsi" w:hAnsiTheme="majorHAnsi" w:cs="Arial"/>
                <w:b/>
                <w:bCs/>
                <w:color w:val="FFFFFF"/>
                <w:lang w:val="tr-TR"/>
              </w:rPr>
            </w:pPr>
            <w:r w:rsidRPr="009A0713">
              <w:rPr>
                <w:rFonts w:asciiTheme="majorHAnsi" w:hAnsiTheme="majorHAnsi" w:cs="Arial"/>
                <w:b/>
                <w:bCs/>
                <w:color w:val="FFFFFF"/>
                <w:lang w:val="tr-TR"/>
              </w:rPr>
              <w:t>15 YIL</w:t>
            </w:r>
          </w:p>
        </w:tc>
        <w:tc>
          <w:tcPr>
            <w:tcW w:w="898" w:type="dxa"/>
            <w:tcBorders>
              <w:top w:val="single" w:sz="8" w:space="0" w:color="000000"/>
              <w:left w:val="single" w:sz="8" w:space="0" w:color="000000"/>
              <w:bottom w:val="single" w:sz="8" w:space="0" w:color="000000"/>
              <w:right w:val="single" w:sz="8" w:space="0" w:color="000000"/>
            </w:tcBorders>
            <w:shd w:val="clear" w:color="auto" w:fill="3F6CAF"/>
            <w:vAlign w:val="bottom"/>
          </w:tcPr>
          <w:p w:rsidR="009A0713" w:rsidRPr="009A0713" w:rsidRDefault="009A0713" w:rsidP="009A0713">
            <w:pPr>
              <w:autoSpaceDE w:val="0"/>
              <w:autoSpaceDN w:val="0"/>
              <w:adjustRightInd w:val="0"/>
              <w:spacing w:after="0" w:line="240" w:lineRule="auto"/>
              <w:rPr>
                <w:rFonts w:asciiTheme="majorHAnsi" w:hAnsiTheme="majorHAnsi" w:cs="Arial"/>
                <w:b/>
                <w:bCs/>
                <w:color w:val="FFFFFF"/>
                <w:lang w:val="tr-TR"/>
              </w:rPr>
            </w:pPr>
            <w:r w:rsidRPr="009A0713">
              <w:rPr>
                <w:rFonts w:asciiTheme="majorHAnsi" w:hAnsiTheme="majorHAnsi" w:cs="Arial"/>
                <w:b/>
                <w:bCs/>
                <w:color w:val="FFFFFF"/>
                <w:lang w:val="tr-TR"/>
              </w:rPr>
              <w:t>1 YIL</w:t>
            </w:r>
          </w:p>
        </w:tc>
        <w:tc>
          <w:tcPr>
            <w:tcW w:w="1795" w:type="dxa"/>
            <w:tcBorders>
              <w:top w:val="single" w:sz="8" w:space="0" w:color="000000"/>
              <w:left w:val="single" w:sz="8" w:space="0" w:color="000000"/>
              <w:bottom w:val="single" w:sz="8" w:space="0" w:color="000000"/>
              <w:right w:val="single" w:sz="8" w:space="0" w:color="000000"/>
            </w:tcBorders>
            <w:shd w:val="clear" w:color="auto" w:fill="3F6CAF"/>
            <w:vAlign w:val="bottom"/>
          </w:tcPr>
          <w:p w:rsidR="009A0713" w:rsidRPr="009A0713" w:rsidRDefault="009A0713" w:rsidP="009A0713">
            <w:pPr>
              <w:autoSpaceDE w:val="0"/>
              <w:autoSpaceDN w:val="0"/>
              <w:adjustRightInd w:val="0"/>
              <w:spacing w:after="0" w:line="240" w:lineRule="auto"/>
              <w:rPr>
                <w:rFonts w:asciiTheme="majorHAnsi" w:hAnsiTheme="majorHAnsi" w:cs="Arial"/>
                <w:b/>
                <w:bCs/>
                <w:color w:val="FFFFFF"/>
                <w:lang w:val="tr-TR"/>
              </w:rPr>
            </w:pPr>
            <w:r w:rsidRPr="009A0713">
              <w:rPr>
                <w:rFonts w:asciiTheme="majorHAnsi" w:hAnsiTheme="majorHAnsi" w:cs="Arial"/>
                <w:b/>
                <w:bCs/>
                <w:color w:val="FFFFFF"/>
                <w:lang w:val="tr-TR"/>
              </w:rPr>
              <w:t>GEÇTİĞİMİZ YILIN ARALIK AYINA GÖRE</w:t>
            </w:r>
          </w:p>
        </w:tc>
        <w:tc>
          <w:tcPr>
            <w:tcW w:w="992" w:type="dxa"/>
            <w:tcBorders>
              <w:top w:val="single" w:sz="8" w:space="0" w:color="000000"/>
              <w:left w:val="single" w:sz="8" w:space="0" w:color="000000"/>
              <w:bottom w:val="single" w:sz="8" w:space="0" w:color="000000"/>
              <w:right w:val="single" w:sz="8" w:space="0" w:color="000000"/>
            </w:tcBorders>
            <w:shd w:val="clear" w:color="auto" w:fill="3F6CAF"/>
            <w:vAlign w:val="bottom"/>
          </w:tcPr>
          <w:p w:rsidR="009A0713" w:rsidRPr="009A0713" w:rsidRDefault="009A0713" w:rsidP="009A0713">
            <w:pPr>
              <w:autoSpaceDE w:val="0"/>
              <w:autoSpaceDN w:val="0"/>
              <w:adjustRightInd w:val="0"/>
              <w:spacing w:after="0" w:line="240" w:lineRule="auto"/>
              <w:rPr>
                <w:rFonts w:asciiTheme="majorHAnsi" w:hAnsiTheme="majorHAnsi" w:cs="Arial"/>
                <w:b/>
                <w:bCs/>
                <w:color w:val="FFFFFF"/>
                <w:lang w:val="tr-TR"/>
              </w:rPr>
            </w:pPr>
            <w:r w:rsidRPr="009A0713">
              <w:rPr>
                <w:rFonts w:asciiTheme="majorHAnsi" w:hAnsiTheme="majorHAnsi" w:cs="Arial"/>
                <w:b/>
                <w:bCs/>
                <w:color w:val="FFFFFF"/>
                <w:lang w:val="tr-TR"/>
              </w:rPr>
              <w:t>1 AY</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GENEL ENFLASYON</w:t>
            </w:r>
          </w:p>
        </w:tc>
        <w:tc>
          <w:tcPr>
            <w:tcW w:w="1347"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246,2%</w:t>
            </w:r>
          </w:p>
        </w:tc>
        <w:tc>
          <w:tcPr>
            <w:tcW w:w="898"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10,26%</w:t>
            </w:r>
          </w:p>
        </w:tc>
        <w:tc>
          <w:tcPr>
            <w:tcW w:w="1795"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1,76%</w:t>
            </w:r>
          </w:p>
        </w:tc>
        <w:tc>
          <w:tcPr>
            <w:tcW w:w="992"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0,73%</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İŞTEKİ DURUMA GÖRE</w:t>
            </w:r>
          </w:p>
        </w:tc>
        <w:tc>
          <w:tcPr>
            <w:tcW w:w="1347"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w:t>
            </w:r>
          </w:p>
        </w:tc>
        <w:tc>
          <w:tcPr>
            <w:tcW w:w="898"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w:t>
            </w:r>
          </w:p>
        </w:tc>
        <w:tc>
          <w:tcPr>
            <w:tcW w:w="1795"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w:t>
            </w:r>
          </w:p>
        </w:tc>
        <w:tc>
          <w:tcPr>
            <w:tcW w:w="992"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Düzenli Ücretli Çalışanlar</w:t>
            </w:r>
          </w:p>
        </w:tc>
        <w:tc>
          <w:tcPr>
            <w:tcW w:w="1347"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274,2%</w:t>
            </w:r>
          </w:p>
        </w:tc>
        <w:tc>
          <w:tcPr>
            <w:tcW w:w="898"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10,72%</w:t>
            </w:r>
          </w:p>
        </w:tc>
        <w:tc>
          <w:tcPr>
            <w:tcW w:w="1795"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1,82%</w:t>
            </w:r>
          </w:p>
        </w:tc>
        <w:tc>
          <w:tcPr>
            <w:tcW w:w="992"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0,71%</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İşverenler</w:t>
            </w:r>
          </w:p>
        </w:tc>
        <w:tc>
          <w:tcPr>
            <w:tcW w:w="1347"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269,2%</w:t>
            </w:r>
          </w:p>
        </w:tc>
        <w:tc>
          <w:tcPr>
            <w:tcW w:w="898"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11,14%</w:t>
            </w:r>
          </w:p>
        </w:tc>
        <w:tc>
          <w:tcPr>
            <w:tcW w:w="1795"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1,86%</w:t>
            </w:r>
          </w:p>
        </w:tc>
        <w:tc>
          <w:tcPr>
            <w:tcW w:w="992"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0,75%</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Kendi Hesabına Çalışanlar</w:t>
            </w:r>
          </w:p>
        </w:tc>
        <w:tc>
          <w:tcPr>
            <w:tcW w:w="1347"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273,0%</w:t>
            </w:r>
          </w:p>
        </w:tc>
        <w:tc>
          <w:tcPr>
            <w:tcW w:w="898"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10,73%</w:t>
            </w:r>
          </w:p>
        </w:tc>
        <w:tc>
          <w:tcPr>
            <w:tcW w:w="1795"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2,05%</w:t>
            </w:r>
          </w:p>
        </w:tc>
        <w:tc>
          <w:tcPr>
            <w:tcW w:w="992"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0,83%</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Ücretsiz Aile Çalışanları</w:t>
            </w:r>
          </w:p>
        </w:tc>
        <w:tc>
          <w:tcPr>
            <w:tcW w:w="1347"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268,2%</w:t>
            </w:r>
          </w:p>
        </w:tc>
        <w:tc>
          <w:tcPr>
            <w:tcW w:w="898"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11,08%</w:t>
            </w:r>
          </w:p>
        </w:tc>
        <w:tc>
          <w:tcPr>
            <w:tcW w:w="1795"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1,75%</w:t>
            </w:r>
          </w:p>
        </w:tc>
        <w:tc>
          <w:tcPr>
            <w:tcW w:w="992"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0,72%</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Yevmiyeli</w:t>
            </w:r>
            <w:r>
              <w:rPr>
                <w:rFonts w:asciiTheme="majorHAnsi" w:hAnsiTheme="majorHAnsi" w:cs="Arial"/>
                <w:color w:val="000000"/>
                <w:lang w:val="tr-TR"/>
              </w:rPr>
              <w:t xml:space="preserve"> </w:t>
            </w:r>
            <w:r w:rsidRPr="009A0713">
              <w:rPr>
                <w:rFonts w:asciiTheme="majorHAnsi" w:hAnsiTheme="majorHAnsi" w:cs="Arial"/>
                <w:color w:val="000000"/>
                <w:lang w:val="tr-TR"/>
              </w:rPr>
              <w:t>Gündelik Çalışanlar</w:t>
            </w:r>
          </w:p>
        </w:tc>
        <w:tc>
          <w:tcPr>
            <w:tcW w:w="1347"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291,1%</w:t>
            </w:r>
          </w:p>
        </w:tc>
        <w:tc>
          <w:tcPr>
            <w:tcW w:w="898"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10,02%</w:t>
            </w:r>
          </w:p>
        </w:tc>
        <w:tc>
          <w:tcPr>
            <w:tcW w:w="1795"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1,95%</w:t>
            </w:r>
          </w:p>
        </w:tc>
        <w:tc>
          <w:tcPr>
            <w:tcW w:w="992"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0,78%</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Çalışmayanlar</w:t>
            </w:r>
          </w:p>
        </w:tc>
        <w:tc>
          <w:tcPr>
            <w:tcW w:w="1347"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282,2%</w:t>
            </w:r>
          </w:p>
        </w:tc>
        <w:tc>
          <w:tcPr>
            <w:tcW w:w="898"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10,40%</w:t>
            </w:r>
          </w:p>
        </w:tc>
        <w:tc>
          <w:tcPr>
            <w:tcW w:w="1795"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2,13%</w:t>
            </w:r>
          </w:p>
        </w:tc>
        <w:tc>
          <w:tcPr>
            <w:tcW w:w="992"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0,87%</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MESLEĞE GÖRE</w:t>
            </w:r>
          </w:p>
        </w:tc>
        <w:tc>
          <w:tcPr>
            <w:tcW w:w="1347"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w:t>
            </w:r>
          </w:p>
        </w:tc>
        <w:tc>
          <w:tcPr>
            <w:tcW w:w="898"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w:t>
            </w:r>
          </w:p>
        </w:tc>
        <w:tc>
          <w:tcPr>
            <w:tcW w:w="1795"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Büro Hizmetlerinde Çalışan Elemanlar</w:t>
            </w:r>
          </w:p>
        </w:tc>
        <w:tc>
          <w:tcPr>
            <w:tcW w:w="1347"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275,7%</w:t>
            </w:r>
          </w:p>
        </w:tc>
        <w:tc>
          <w:tcPr>
            <w:tcW w:w="898"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10,50%</w:t>
            </w:r>
          </w:p>
        </w:tc>
        <w:tc>
          <w:tcPr>
            <w:tcW w:w="1795"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1,74%</w:t>
            </w:r>
          </w:p>
        </w:tc>
        <w:tc>
          <w:tcPr>
            <w:tcW w:w="992"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0,67%</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Çalışmayanlar</w:t>
            </w:r>
          </w:p>
        </w:tc>
        <w:tc>
          <w:tcPr>
            <w:tcW w:w="1347"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282,2%</w:t>
            </w:r>
          </w:p>
        </w:tc>
        <w:tc>
          <w:tcPr>
            <w:tcW w:w="898"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10,40%</w:t>
            </w:r>
          </w:p>
        </w:tc>
        <w:tc>
          <w:tcPr>
            <w:tcW w:w="1795"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2,13%</w:t>
            </w:r>
          </w:p>
        </w:tc>
        <w:tc>
          <w:tcPr>
            <w:tcW w:w="992"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0,87%</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Hizmet Ve Satış Elemanları</w:t>
            </w:r>
          </w:p>
        </w:tc>
        <w:tc>
          <w:tcPr>
            <w:tcW w:w="1347"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276,7%</w:t>
            </w:r>
          </w:p>
        </w:tc>
        <w:tc>
          <w:tcPr>
            <w:tcW w:w="898"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10,71%</w:t>
            </w:r>
          </w:p>
        </w:tc>
        <w:tc>
          <w:tcPr>
            <w:tcW w:w="1795"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1,89%</w:t>
            </w:r>
          </w:p>
        </w:tc>
        <w:tc>
          <w:tcPr>
            <w:tcW w:w="992"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0,76%</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Nitelik Gerektirmeyen İşlerde Çalışanlar</w:t>
            </w:r>
          </w:p>
        </w:tc>
        <w:tc>
          <w:tcPr>
            <w:tcW w:w="1347"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286,2%</w:t>
            </w:r>
          </w:p>
        </w:tc>
        <w:tc>
          <w:tcPr>
            <w:tcW w:w="898"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10,00%</w:t>
            </w:r>
          </w:p>
        </w:tc>
        <w:tc>
          <w:tcPr>
            <w:tcW w:w="1795"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1,92%</w:t>
            </w:r>
          </w:p>
        </w:tc>
        <w:tc>
          <w:tcPr>
            <w:tcW w:w="992"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0,77%</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Nitelikli Tarım, Ormancılık Ve Su Ürünleri Çalışanları</w:t>
            </w:r>
          </w:p>
        </w:tc>
        <w:tc>
          <w:tcPr>
            <w:tcW w:w="1347"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272,2%</w:t>
            </w:r>
          </w:p>
        </w:tc>
        <w:tc>
          <w:tcPr>
            <w:tcW w:w="898"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10,46%</w:t>
            </w:r>
          </w:p>
        </w:tc>
        <w:tc>
          <w:tcPr>
            <w:tcW w:w="1795"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2,24%</w:t>
            </w:r>
          </w:p>
        </w:tc>
        <w:tc>
          <w:tcPr>
            <w:tcW w:w="992"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0,92%</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Profesyonel Meslek Mensupları</w:t>
            </w:r>
          </w:p>
        </w:tc>
        <w:tc>
          <w:tcPr>
            <w:tcW w:w="1347"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263,4%</w:t>
            </w:r>
          </w:p>
        </w:tc>
        <w:tc>
          <w:tcPr>
            <w:tcW w:w="898"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11,34%</w:t>
            </w:r>
          </w:p>
        </w:tc>
        <w:tc>
          <w:tcPr>
            <w:tcW w:w="1795"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1,68%</w:t>
            </w:r>
          </w:p>
        </w:tc>
        <w:tc>
          <w:tcPr>
            <w:tcW w:w="992"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0,66%</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proofErr w:type="gramStart"/>
            <w:r w:rsidRPr="009A0713">
              <w:rPr>
                <w:rFonts w:asciiTheme="majorHAnsi" w:hAnsiTheme="majorHAnsi" w:cs="Arial"/>
                <w:color w:val="000000"/>
                <w:lang w:val="tr-TR"/>
              </w:rPr>
              <w:t>Sanatkarlar</w:t>
            </w:r>
            <w:proofErr w:type="gramEnd"/>
            <w:r w:rsidRPr="009A0713">
              <w:rPr>
                <w:rFonts w:asciiTheme="majorHAnsi" w:hAnsiTheme="majorHAnsi" w:cs="Arial"/>
                <w:color w:val="000000"/>
                <w:lang w:val="tr-TR"/>
              </w:rPr>
              <w:t xml:space="preserve"> Ve İlgili İşlerde Çalışanlar</w:t>
            </w:r>
          </w:p>
        </w:tc>
        <w:tc>
          <w:tcPr>
            <w:tcW w:w="1347"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278,9%</w:t>
            </w:r>
          </w:p>
        </w:tc>
        <w:tc>
          <w:tcPr>
            <w:tcW w:w="898"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10,52%</w:t>
            </w:r>
          </w:p>
        </w:tc>
        <w:tc>
          <w:tcPr>
            <w:tcW w:w="1795"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1,99%</w:t>
            </w:r>
          </w:p>
        </w:tc>
        <w:tc>
          <w:tcPr>
            <w:tcW w:w="992"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0,79%</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Teknisyenler, Teknikerler Ve Yardımcı Profesyonel Meslek Mensupları</w:t>
            </w:r>
          </w:p>
        </w:tc>
        <w:tc>
          <w:tcPr>
            <w:tcW w:w="1347"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270,3%</w:t>
            </w:r>
          </w:p>
        </w:tc>
        <w:tc>
          <w:tcPr>
            <w:tcW w:w="898"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10,69%</w:t>
            </w:r>
          </w:p>
        </w:tc>
        <w:tc>
          <w:tcPr>
            <w:tcW w:w="1795"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1,80%</w:t>
            </w:r>
          </w:p>
        </w:tc>
        <w:tc>
          <w:tcPr>
            <w:tcW w:w="992"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0,69%</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Tesis Ve Makine Operatörleri Ve Montajcılar</w:t>
            </w:r>
          </w:p>
        </w:tc>
        <w:tc>
          <w:tcPr>
            <w:tcW w:w="1347"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284,4%</w:t>
            </w:r>
          </w:p>
        </w:tc>
        <w:tc>
          <w:tcPr>
            <w:tcW w:w="898"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10,24%</w:t>
            </w:r>
          </w:p>
        </w:tc>
        <w:tc>
          <w:tcPr>
            <w:tcW w:w="1795"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1,90%</w:t>
            </w:r>
          </w:p>
        </w:tc>
        <w:tc>
          <w:tcPr>
            <w:tcW w:w="992"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0,74%</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Yöneticiler</w:t>
            </w:r>
          </w:p>
        </w:tc>
        <w:tc>
          <w:tcPr>
            <w:tcW w:w="1347"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270,3%</w:t>
            </w:r>
          </w:p>
        </w:tc>
        <w:tc>
          <w:tcPr>
            <w:tcW w:w="898"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11,27%</w:t>
            </w:r>
          </w:p>
        </w:tc>
        <w:tc>
          <w:tcPr>
            <w:tcW w:w="1795"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1,83%</w:t>
            </w:r>
          </w:p>
        </w:tc>
        <w:tc>
          <w:tcPr>
            <w:tcW w:w="992"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0,72%</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TEMEL GELİR KAYNAĞINA GÖRE</w:t>
            </w:r>
          </w:p>
        </w:tc>
        <w:tc>
          <w:tcPr>
            <w:tcW w:w="1347"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w:t>
            </w:r>
          </w:p>
        </w:tc>
        <w:tc>
          <w:tcPr>
            <w:tcW w:w="898"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w:t>
            </w:r>
          </w:p>
        </w:tc>
        <w:tc>
          <w:tcPr>
            <w:tcW w:w="1795"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w:t>
            </w:r>
          </w:p>
        </w:tc>
        <w:tc>
          <w:tcPr>
            <w:tcW w:w="992"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Ücret, yevmiye</w:t>
            </w:r>
          </w:p>
        </w:tc>
        <w:tc>
          <w:tcPr>
            <w:tcW w:w="1347"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275,2%</w:t>
            </w:r>
          </w:p>
        </w:tc>
        <w:tc>
          <w:tcPr>
            <w:tcW w:w="898"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10,66%</w:t>
            </w:r>
          </w:p>
        </w:tc>
        <w:tc>
          <w:tcPr>
            <w:tcW w:w="1795"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1,84%</w:t>
            </w:r>
          </w:p>
        </w:tc>
        <w:tc>
          <w:tcPr>
            <w:tcW w:w="992"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0,73%</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proofErr w:type="spellStart"/>
            <w:r w:rsidRPr="009A0713">
              <w:rPr>
                <w:rFonts w:asciiTheme="majorHAnsi" w:hAnsiTheme="majorHAnsi" w:cs="Arial"/>
                <w:color w:val="000000"/>
                <w:lang w:val="tr-TR"/>
              </w:rPr>
              <w:t>Mütesebbis</w:t>
            </w:r>
            <w:proofErr w:type="spellEnd"/>
            <w:r w:rsidRPr="009A0713">
              <w:rPr>
                <w:rFonts w:asciiTheme="majorHAnsi" w:hAnsiTheme="majorHAnsi" w:cs="Arial"/>
                <w:color w:val="000000"/>
                <w:lang w:val="tr-TR"/>
              </w:rPr>
              <w:t xml:space="preserve"> Geliri</w:t>
            </w:r>
          </w:p>
        </w:tc>
        <w:tc>
          <w:tcPr>
            <w:tcW w:w="1347"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273,2%</w:t>
            </w:r>
          </w:p>
        </w:tc>
        <w:tc>
          <w:tcPr>
            <w:tcW w:w="898"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11,01%</w:t>
            </w:r>
          </w:p>
        </w:tc>
        <w:tc>
          <w:tcPr>
            <w:tcW w:w="1795"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1,97%</w:t>
            </w:r>
          </w:p>
        </w:tc>
        <w:tc>
          <w:tcPr>
            <w:tcW w:w="992"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0,80%</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Emekli aylığı</w:t>
            </w:r>
          </w:p>
        </w:tc>
        <w:tc>
          <w:tcPr>
            <w:tcW w:w="1347"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280,5%</w:t>
            </w:r>
          </w:p>
        </w:tc>
        <w:tc>
          <w:tcPr>
            <w:tcW w:w="898"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10,35%</w:t>
            </w:r>
          </w:p>
        </w:tc>
        <w:tc>
          <w:tcPr>
            <w:tcW w:w="1795"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2,26%</w:t>
            </w:r>
          </w:p>
        </w:tc>
        <w:tc>
          <w:tcPr>
            <w:tcW w:w="992"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0,91%</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Diğer Transferler</w:t>
            </w:r>
          </w:p>
        </w:tc>
        <w:tc>
          <w:tcPr>
            <w:tcW w:w="1347"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287,5%</w:t>
            </w:r>
          </w:p>
        </w:tc>
        <w:tc>
          <w:tcPr>
            <w:tcW w:w="898"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10,11%</w:t>
            </w:r>
          </w:p>
        </w:tc>
        <w:tc>
          <w:tcPr>
            <w:tcW w:w="1795"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2,05%</w:t>
            </w:r>
          </w:p>
        </w:tc>
        <w:tc>
          <w:tcPr>
            <w:tcW w:w="992"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0,82%</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Gayrimenkul Kira Geliri Ve Menkul Kıymet Faiz Geliri</w:t>
            </w:r>
          </w:p>
        </w:tc>
        <w:tc>
          <w:tcPr>
            <w:tcW w:w="1347"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282,0%</w:t>
            </w:r>
          </w:p>
        </w:tc>
        <w:tc>
          <w:tcPr>
            <w:tcW w:w="898"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10,21%</w:t>
            </w:r>
          </w:p>
        </w:tc>
        <w:tc>
          <w:tcPr>
            <w:tcW w:w="1795"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2,19%</w:t>
            </w:r>
          </w:p>
        </w:tc>
        <w:tc>
          <w:tcPr>
            <w:tcW w:w="992"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0,86%</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GELİR GRUPLARINA GÖRE</w:t>
            </w:r>
          </w:p>
        </w:tc>
        <w:tc>
          <w:tcPr>
            <w:tcW w:w="1347"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w:t>
            </w:r>
          </w:p>
        </w:tc>
        <w:tc>
          <w:tcPr>
            <w:tcW w:w="898"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w:t>
            </w:r>
          </w:p>
        </w:tc>
        <w:tc>
          <w:tcPr>
            <w:tcW w:w="1795"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w:t>
            </w:r>
          </w:p>
        </w:tc>
        <w:tc>
          <w:tcPr>
            <w:tcW w:w="992"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1. Yüzde 20 En Yoksul</w:t>
            </w:r>
          </w:p>
        </w:tc>
        <w:tc>
          <w:tcPr>
            <w:tcW w:w="1347"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285,6%</w:t>
            </w:r>
          </w:p>
        </w:tc>
        <w:tc>
          <w:tcPr>
            <w:tcW w:w="898"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10,05%</w:t>
            </w:r>
          </w:p>
        </w:tc>
        <w:tc>
          <w:tcPr>
            <w:tcW w:w="1795"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2,17%</w:t>
            </w:r>
          </w:p>
        </w:tc>
        <w:tc>
          <w:tcPr>
            <w:tcW w:w="992"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0,90%</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2. Yüzde 20</w:t>
            </w:r>
          </w:p>
        </w:tc>
        <w:tc>
          <w:tcPr>
            <w:tcW w:w="1347"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281,6%</w:t>
            </w:r>
          </w:p>
        </w:tc>
        <w:tc>
          <w:tcPr>
            <w:tcW w:w="898"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10,26%</w:t>
            </w:r>
          </w:p>
        </w:tc>
        <w:tc>
          <w:tcPr>
            <w:tcW w:w="1795"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2,08%</w:t>
            </w:r>
          </w:p>
        </w:tc>
        <w:tc>
          <w:tcPr>
            <w:tcW w:w="992"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0,86%</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3. Yüzde 20</w:t>
            </w:r>
          </w:p>
        </w:tc>
        <w:tc>
          <w:tcPr>
            <w:tcW w:w="1347"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281,3%</w:t>
            </w:r>
          </w:p>
        </w:tc>
        <w:tc>
          <w:tcPr>
            <w:tcW w:w="898"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10,29%</w:t>
            </w:r>
          </w:p>
        </w:tc>
        <w:tc>
          <w:tcPr>
            <w:tcW w:w="1795"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2,00%</w:t>
            </w:r>
          </w:p>
        </w:tc>
        <w:tc>
          <w:tcPr>
            <w:tcW w:w="992"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0,79%</w:t>
            </w:r>
          </w:p>
        </w:tc>
      </w:tr>
      <w:tr w:rsidR="009A0713" w:rsidRPr="009A0713" w:rsidTr="009A0713">
        <w:tblPrEx>
          <w:tblBorders>
            <w:top w:val="none" w:sz="0" w:space="0" w:color="auto"/>
          </w:tblBorders>
        </w:tblPrEx>
        <w:tc>
          <w:tcPr>
            <w:tcW w:w="5140"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4. Yüzde 20</w:t>
            </w:r>
          </w:p>
        </w:tc>
        <w:tc>
          <w:tcPr>
            <w:tcW w:w="1347"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281,3%</w:t>
            </w:r>
          </w:p>
        </w:tc>
        <w:tc>
          <w:tcPr>
            <w:tcW w:w="898"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10,29%</w:t>
            </w:r>
          </w:p>
        </w:tc>
        <w:tc>
          <w:tcPr>
            <w:tcW w:w="1795"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2,00%</w:t>
            </w:r>
          </w:p>
        </w:tc>
        <w:tc>
          <w:tcPr>
            <w:tcW w:w="992"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0,79%</w:t>
            </w:r>
          </w:p>
        </w:tc>
      </w:tr>
      <w:tr w:rsidR="009A0713" w:rsidRPr="009A0713" w:rsidTr="009A0713">
        <w:tc>
          <w:tcPr>
            <w:tcW w:w="5140"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5. Yüzde 20 En Zengin</w:t>
            </w:r>
          </w:p>
        </w:tc>
        <w:tc>
          <w:tcPr>
            <w:tcW w:w="1347"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269,0%</w:t>
            </w:r>
          </w:p>
        </w:tc>
        <w:tc>
          <w:tcPr>
            <w:tcW w:w="898"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11,13%</w:t>
            </w:r>
          </w:p>
        </w:tc>
        <w:tc>
          <w:tcPr>
            <w:tcW w:w="1795"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1,78%</w:t>
            </w:r>
          </w:p>
        </w:tc>
        <w:tc>
          <w:tcPr>
            <w:tcW w:w="992"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0,70%</w:t>
            </w:r>
          </w:p>
        </w:tc>
      </w:tr>
    </w:tbl>
    <w:p w:rsidR="009A0713" w:rsidRDefault="009A0713" w:rsidP="009A0713">
      <w:pPr>
        <w:spacing w:after="0" w:line="240" w:lineRule="auto"/>
        <w:jc w:val="both"/>
        <w:rPr>
          <w:rStyle w:val="apple-style-span"/>
          <w:rFonts w:asciiTheme="majorHAnsi" w:hAnsiTheme="majorHAnsi"/>
          <w:color w:val="000000"/>
          <w:shd w:val="clear" w:color="auto" w:fill="FFFFFF"/>
          <w:lang w:val="tr-TR"/>
        </w:rPr>
      </w:pPr>
    </w:p>
    <w:p w:rsidR="009A0713" w:rsidRDefault="009A0713" w:rsidP="009A0713">
      <w:pPr>
        <w:spacing w:after="0" w:line="240" w:lineRule="auto"/>
        <w:jc w:val="both"/>
        <w:rPr>
          <w:rStyle w:val="apple-style-span"/>
          <w:rFonts w:asciiTheme="majorHAnsi" w:hAnsiTheme="majorHAnsi"/>
          <w:color w:val="000000"/>
          <w:shd w:val="clear" w:color="auto" w:fill="FFFFFF"/>
          <w:lang w:val="tr-TR"/>
        </w:rPr>
      </w:pPr>
    </w:p>
    <w:p w:rsidR="009A0713" w:rsidRDefault="009A0713" w:rsidP="009A0713">
      <w:pPr>
        <w:spacing w:after="0" w:line="240" w:lineRule="auto"/>
        <w:jc w:val="both"/>
        <w:rPr>
          <w:rStyle w:val="apple-style-span"/>
          <w:rFonts w:asciiTheme="majorHAnsi" w:hAnsiTheme="majorHAnsi"/>
          <w:color w:val="000000"/>
          <w:shd w:val="clear" w:color="auto" w:fill="FFFFFF"/>
          <w:lang w:val="tr-TR"/>
        </w:rPr>
      </w:pPr>
    </w:p>
    <w:p w:rsidR="009A0713" w:rsidRDefault="009A0713" w:rsidP="009A0713">
      <w:pPr>
        <w:spacing w:after="0" w:line="240" w:lineRule="auto"/>
        <w:jc w:val="both"/>
        <w:rPr>
          <w:rStyle w:val="apple-style-span"/>
          <w:rFonts w:asciiTheme="majorHAnsi" w:hAnsiTheme="majorHAnsi"/>
          <w:color w:val="000000"/>
          <w:shd w:val="clear" w:color="auto" w:fill="FFFFFF"/>
          <w:lang w:val="tr-TR"/>
        </w:rPr>
      </w:pPr>
    </w:p>
    <w:p w:rsidR="009A0713" w:rsidRDefault="009A0713" w:rsidP="009A0713">
      <w:pPr>
        <w:spacing w:after="0" w:line="240" w:lineRule="auto"/>
        <w:jc w:val="both"/>
        <w:rPr>
          <w:rStyle w:val="apple-style-span"/>
          <w:rFonts w:asciiTheme="majorHAnsi" w:hAnsiTheme="majorHAnsi"/>
          <w:color w:val="000000"/>
          <w:shd w:val="clear" w:color="auto" w:fill="FFFFFF"/>
          <w:lang w:val="tr-TR"/>
        </w:rPr>
      </w:pPr>
    </w:p>
    <w:p w:rsidR="009A0713" w:rsidRDefault="009A0713" w:rsidP="009A0713">
      <w:pPr>
        <w:spacing w:after="0" w:line="240" w:lineRule="auto"/>
        <w:jc w:val="both"/>
        <w:rPr>
          <w:rStyle w:val="apple-style-span"/>
          <w:rFonts w:asciiTheme="majorHAnsi" w:hAnsiTheme="majorHAnsi"/>
          <w:color w:val="000000"/>
          <w:shd w:val="clear" w:color="auto" w:fill="FFFFFF"/>
          <w:lang w:val="tr-TR"/>
        </w:rPr>
      </w:pPr>
    </w:p>
    <w:p w:rsidR="009A0713" w:rsidRDefault="009A0713" w:rsidP="009A0713">
      <w:pPr>
        <w:spacing w:after="0" w:line="240" w:lineRule="auto"/>
        <w:jc w:val="both"/>
        <w:rPr>
          <w:rStyle w:val="apple-style-span"/>
          <w:rFonts w:asciiTheme="majorHAnsi" w:hAnsiTheme="majorHAnsi"/>
          <w:color w:val="000000"/>
          <w:shd w:val="clear" w:color="auto" w:fill="FFFFFF"/>
          <w:lang w:val="tr-TR"/>
        </w:rPr>
      </w:pPr>
    </w:p>
    <w:p w:rsidR="009A0713" w:rsidRDefault="009A0713" w:rsidP="009A0713">
      <w:pPr>
        <w:spacing w:after="0" w:line="240" w:lineRule="auto"/>
        <w:jc w:val="both"/>
        <w:rPr>
          <w:rStyle w:val="apple-style-span"/>
          <w:rFonts w:asciiTheme="majorHAnsi" w:hAnsiTheme="majorHAnsi"/>
          <w:color w:val="000000"/>
          <w:shd w:val="clear" w:color="auto" w:fill="FFFFFF"/>
          <w:lang w:val="tr-TR"/>
        </w:rPr>
      </w:pPr>
    </w:p>
    <w:p w:rsidR="009A0713" w:rsidRDefault="009A0713" w:rsidP="009A0713">
      <w:pPr>
        <w:spacing w:after="0" w:line="240" w:lineRule="auto"/>
        <w:jc w:val="both"/>
        <w:rPr>
          <w:rStyle w:val="apple-style-span"/>
          <w:rFonts w:asciiTheme="majorHAnsi" w:hAnsiTheme="majorHAnsi"/>
          <w:color w:val="000000"/>
          <w:shd w:val="clear" w:color="auto" w:fill="FFFFFF"/>
          <w:lang w:val="tr-TR"/>
        </w:rPr>
      </w:pPr>
    </w:p>
    <w:p w:rsidR="009A0713" w:rsidRDefault="009A0713" w:rsidP="009A0713">
      <w:pPr>
        <w:spacing w:after="0" w:line="240" w:lineRule="auto"/>
        <w:jc w:val="both"/>
        <w:rPr>
          <w:rStyle w:val="apple-style-span"/>
          <w:rFonts w:asciiTheme="majorHAnsi" w:hAnsiTheme="majorHAnsi"/>
          <w:color w:val="000000"/>
          <w:shd w:val="clear" w:color="auto" w:fill="FFFFFF"/>
          <w:lang w:val="tr-TR"/>
        </w:rPr>
      </w:pPr>
    </w:p>
    <w:p w:rsidR="009A0713" w:rsidRDefault="009A0713" w:rsidP="009A0713">
      <w:pPr>
        <w:spacing w:after="0" w:line="240" w:lineRule="auto"/>
        <w:jc w:val="both"/>
        <w:rPr>
          <w:rStyle w:val="apple-style-span"/>
          <w:rFonts w:asciiTheme="majorHAnsi" w:hAnsiTheme="majorHAnsi"/>
          <w:color w:val="000000"/>
          <w:shd w:val="clear" w:color="auto" w:fill="FFFFFF"/>
          <w:lang w:val="tr-TR"/>
        </w:rPr>
      </w:pPr>
    </w:p>
    <w:p w:rsidR="009A0713" w:rsidRPr="009A0713" w:rsidRDefault="009A0713" w:rsidP="009A0713">
      <w:pPr>
        <w:spacing w:after="0" w:line="240" w:lineRule="auto"/>
        <w:jc w:val="both"/>
        <w:rPr>
          <w:rStyle w:val="apple-style-span"/>
          <w:rFonts w:ascii="Arial Narrow" w:hAnsi="Arial Narrow"/>
          <w:b/>
          <w:color w:val="000000"/>
          <w:shd w:val="clear" w:color="auto" w:fill="FFFFFF"/>
          <w:lang w:val="tr-TR"/>
        </w:rPr>
      </w:pPr>
      <w:bookmarkStart w:id="0" w:name="_GoBack"/>
      <w:r w:rsidRPr="009A0713">
        <w:rPr>
          <w:rStyle w:val="apple-style-span"/>
          <w:rFonts w:ascii="Arial Narrow" w:hAnsi="Arial Narrow"/>
          <w:b/>
          <w:color w:val="000000"/>
          <w:shd w:val="clear" w:color="auto" w:fill="FFFFFF"/>
          <w:lang w:val="tr-TR"/>
        </w:rPr>
        <w:lastRenderedPageBreak/>
        <w:t xml:space="preserve">TABLO 2- AKP Döneminde gizli yoksullaşma oranları </w:t>
      </w:r>
    </w:p>
    <w:tbl>
      <w:tblPr>
        <w:tblW w:w="9180" w:type="dxa"/>
        <w:tblInd w:w="-118" w:type="dxa"/>
        <w:tblBorders>
          <w:top w:val="nil"/>
          <w:left w:val="nil"/>
          <w:right w:val="nil"/>
        </w:tblBorders>
        <w:tblLayout w:type="fixed"/>
        <w:tblCellMar>
          <w:left w:w="70" w:type="dxa"/>
          <w:right w:w="70" w:type="dxa"/>
        </w:tblCellMar>
        <w:tblLook w:val="0000" w:firstRow="0" w:lastRow="0" w:firstColumn="0" w:lastColumn="0" w:noHBand="0" w:noVBand="0"/>
      </w:tblPr>
      <w:tblGrid>
        <w:gridCol w:w="5411"/>
        <w:gridCol w:w="3769"/>
      </w:tblGrid>
      <w:tr w:rsidR="009A0713" w:rsidRPr="009A0713" w:rsidTr="009A0713">
        <w:tc>
          <w:tcPr>
            <w:tcW w:w="5411" w:type="dxa"/>
            <w:tcBorders>
              <w:top w:val="single" w:sz="8" w:space="0" w:color="000000"/>
              <w:left w:val="single" w:sz="8" w:space="0" w:color="000000"/>
              <w:bottom w:val="single" w:sz="8" w:space="0" w:color="000000"/>
              <w:right w:val="single" w:sz="8" w:space="0" w:color="000000"/>
            </w:tcBorders>
            <w:shd w:val="clear" w:color="auto" w:fill="3F6CAF"/>
            <w:vAlign w:val="bottom"/>
          </w:tcPr>
          <w:bookmarkEnd w:id="0"/>
          <w:p w:rsidR="009A0713" w:rsidRPr="009A0713" w:rsidRDefault="009A0713" w:rsidP="009A0713">
            <w:pPr>
              <w:autoSpaceDE w:val="0"/>
              <w:autoSpaceDN w:val="0"/>
              <w:adjustRightInd w:val="0"/>
              <w:spacing w:after="0" w:line="240" w:lineRule="auto"/>
              <w:rPr>
                <w:rFonts w:asciiTheme="majorHAnsi" w:hAnsiTheme="majorHAnsi" w:cs="Arial"/>
                <w:b/>
                <w:bCs/>
                <w:color w:val="FFFFFF"/>
                <w:lang w:val="tr-TR"/>
              </w:rPr>
            </w:pPr>
            <w:r w:rsidRPr="009A0713">
              <w:rPr>
                <w:rFonts w:asciiTheme="majorHAnsi" w:hAnsiTheme="majorHAnsi" w:cs="Arial"/>
                <w:b/>
                <w:bCs/>
                <w:color w:val="FFFFFF"/>
                <w:lang w:val="tr-TR"/>
              </w:rPr>
              <w:t>İŞTEKİ DURUMA GÖRE</w:t>
            </w:r>
          </w:p>
        </w:tc>
        <w:tc>
          <w:tcPr>
            <w:tcW w:w="3769" w:type="dxa"/>
            <w:tcBorders>
              <w:top w:val="single" w:sz="8" w:space="0" w:color="000000"/>
              <w:left w:val="single" w:sz="8" w:space="0" w:color="000000"/>
              <w:bottom w:val="single" w:sz="8" w:space="0" w:color="000000"/>
              <w:right w:val="single" w:sz="8" w:space="0" w:color="000000"/>
            </w:tcBorders>
            <w:shd w:val="clear" w:color="auto" w:fill="3F6CAF"/>
            <w:vAlign w:val="bottom"/>
          </w:tcPr>
          <w:p w:rsidR="009A0713" w:rsidRPr="009A0713" w:rsidRDefault="009A0713" w:rsidP="009A0713">
            <w:pPr>
              <w:autoSpaceDE w:val="0"/>
              <w:autoSpaceDN w:val="0"/>
              <w:adjustRightInd w:val="0"/>
              <w:spacing w:after="0" w:line="240" w:lineRule="auto"/>
              <w:rPr>
                <w:rFonts w:asciiTheme="majorHAnsi" w:hAnsiTheme="majorHAnsi" w:cs="Arial"/>
                <w:b/>
                <w:bCs/>
                <w:color w:val="FFFFFF"/>
                <w:lang w:val="tr-TR"/>
              </w:rPr>
            </w:pPr>
            <w:r w:rsidRPr="009A0713">
              <w:rPr>
                <w:rFonts w:asciiTheme="majorHAnsi" w:hAnsiTheme="majorHAnsi" w:cs="Arial"/>
                <w:b/>
                <w:bCs/>
                <w:color w:val="FFFFFF"/>
                <w:lang w:val="tr-TR"/>
              </w:rPr>
              <w:t>GİZLİ YOKSULLAŞMA ORANI (%)</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Düzenli Ücretli Çalışanlar</w:t>
            </w:r>
          </w:p>
        </w:tc>
        <w:tc>
          <w:tcPr>
            <w:tcW w:w="3769"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8,3%</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İşverenler</w:t>
            </w:r>
          </w:p>
        </w:tc>
        <w:tc>
          <w:tcPr>
            <w:tcW w:w="3769"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6,7%</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Kendi Hesabına Çalışanlar</w:t>
            </w:r>
          </w:p>
        </w:tc>
        <w:tc>
          <w:tcPr>
            <w:tcW w:w="3769"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7,9%</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Ücretsiz Aile İşçileri</w:t>
            </w:r>
          </w:p>
        </w:tc>
        <w:tc>
          <w:tcPr>
            <w:tcW w:w="3769"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6,6%</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Yevmiyeli Gündelik Çalışanlar</w:t>
            </w:r>
          </w:p>
        </w:tc>
        <w:tc>
          <w:tcPr>
            <w:tcW w:w="3769"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13,0%</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Çalışmayanlar</w:t>
            </w:r>
          </w:p>
        </w:tc>
        <w:tc>
          <w:tcPr>
            <w:tcW w:w="3769"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10,4%</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MESLEĞE GÖRE</w:t>
            </w:r>
          </w:p>
        </w:tc>
        <w:tc>
          <w:tcPr>
            <w:tcW w:w="3769"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Büro Hizmetlerinde Çalışan Elemanlar</w:t>
            </w:r>
          </w:p>
        </w:tc>
        <w:tc>
          <w:tcPr>
            <w:tcW w:w="3769"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8,7%</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Çalışmayanlar</w:t>
            </w:r>
          </w:p>
        </w:tc>
        <w:tc>
          <w:tcPr>
            <w:tcW w:w="3769"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10,4%</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Hizmet Ve Satış Elemanları</w:t>
            </w:r>
          </w:p>
        </w:tc>
        <w:tc>
          <w:tcPr>
            <w:tcW w:w="3769"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9,0%</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Nitelik Gerektirmeyen İşlerde Çalışanlar</w:t>
            </w:r>
          </w:p>
        </w:tc>
        <w:tc>
          <w:tcPr>
            <w:tcW w:w="3769"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11,6%</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Nitelikli Tarım, Ormancılık Ve Su Ürünleri Çalışanları</w:t>
            </w:r>
          </w:p>
        </w:tc>
        <w:tc>
          <w:tcPr>
            <w:tcW w:w="3769"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7,6%</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Profesyonel Meslek Mensupları</w:t>
            </w:r>
          </w:p>
        </w:tc>
        <w:tc>
          <w:tcPr>
            <w:tcW w:w="3769"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5,2%</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w:t>
            </w:r>
            <w:proofErr w:type="gramStart"/>
            <w:r w:rsidRPr="009A0713">
              <w:rPr>
                <w:rFonts w:asciiTheme="majorHAnsi" w:hAnsiTheme="majorHAnsi" w:cs="Arial"/>
                <w:color w:val="000000"/>
                <w:lang w:val="tr-TR"/>
              </w:rPr>
              <w:t>Sanatkarlar</w:t>
            </w:r>
            <w:proofErr w:type="gramEnd"/>
            <w:r w:rsidRPr="009A0713">
              <w:rPr>
                <w:rFonts w:asciiTheme="majorHAnsi" w:hAnsiTheme="majorHAnsi" w:cs="Arial"/>
                <w:color w:val="000000"/>
                <w:lang w:val="tr-TR"/>
              </w:rPr>
              <w:t xml:space="preserve"> Ve İlgili İşlerde Çalışanlar</w:t>
            </w:r>
          </w:p>
        </w:tc>
        <w:tc>
          <w:tcPr>
            <w:tcW w:w="3769"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9,6%</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xml:space="preserve"> Teknisyenler, Teknikerler ve </w:t>
            </w:r>
            <w:proofErr w:type="spellStart"/>
            <w:r w:rsidRPr="009A0713">
              <w:rPr>
                <w:rFonts w:asciiTheme="majorHAnsi" w:hAnsiTheme="majorHAnsi" w:cs="Arial"/>
                <w:color w:val="000000"/>
                <w:lang w:val="tr-TR"/>
              </w:rPr>
              <w:t>Yard</w:t>
            </w:r>
            <w:proofErr w:type="spellEnd"/>
            <w:r w:rsidRPr="009A0713">
              <w:rPr>
                <w:rFonts w:asciiTheme="majorHAnsi" w:hAnsiTheme="majorHAnsi" w:cs="Arial"/>
                <w:color w:val="000000"/>
                <w:lang w:val="tr-TR"/>
              </w:rPr>
              <w:t>. Prof. Meslek Mensupları</w:t>
            </w:r>
          </w:p>
        </w:tc>
        <w:tc>
          <w:tcPr>
            <w:tcW w:w="3769"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7,2%</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Tesis Ve Makine Operatörleri Ve Montajcılar</w:t>
            </w:r>
          </w:p>
        </w:tc>
        <w:tc>
          <w:tcPr>
            <w:tcW w:w="3769"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11,1%</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Yöneticiler</w:t>
            </w:r>
          </w:p>
        </w:tc>
        <w:tc>
          <w:tcPr>
            <w:tcW w:w="3769"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7,1%</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TEMEL GELİR KAYNAĞINA GÖRE</w:t>
            </w:r>
          </w:p>
        </w:tc>
        <w:tc>
          <w:tcPr>
            <w:tcW w:w="3769"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Ücret, yevmiye</w:t>
            </w:r>
          </w:p>
        </w:tc>
        <w:tc>
          <w:tcPr>
            <w:tcW w:w="3769"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8,5%</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proofErr w:type="spellStart"/>
            <w:r w:rsidRPr="009A0713">
              <w:rPr>
                <w:rFonts w:asciiTheme="majorHAnsi" w:hAnsiTheme="majorHAnsi" w:cs="Arial"/>
                <w:color w:val="000000"/>
                <w:lang w:val="tr-TR"/>
              </w:rPr>
              <w:t>Mütesebbis</w:t>
            </w:r>
            <w:proofErr w:type="spellEnd"/>
            <w:r w:rsidRPr="009A0713">
              <w:rPr>
                <w:rFonts w:asciiTheme="majorHAnsi" w:hAnsiTheme="majorHAnsi" w:cs="Arial"/>
                <w:color w:val="000000"/>
                <w:lang w:val="tr-TR"/>
              </w:rPr>
              <w:t xml:space="preserve"> Geliri</w:t>
            </w:r>
          </w:p>
        </w:tc>
        <w:tc>
          <w:tcPr>
            <w:tcW w:w="3769"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7,9%</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Emekli aylığı</w:t>
            </w:r>
          </w:p>
        </w:tc>
        <w:tc>
          <w:tcPr>
            <w:tcW w:w="3769"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9,8%</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Diğer Transferler</w:t>
            </w:r>
          </w:p>
        </w:tc>
        <w:tc>
          <w:tcPr>
            <w:tcW w:w="3769"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11,8%</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Gayrimenkul Kira Geliri Ve Menkul Kıymet Faiz Geliri</w:t>
            </w:r>
          </w:p>
        </w:tc>
        <w:tc>
          <w:tcPr>
            <w:tcW w:w="3769"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10,2%</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GELİR GRUPLARINA GÖRE</w:t>
            </w:r>
          </w:p>
        </w:tc>
        <w:tc>
          <w:tcPr>
            <w:tcW w:w="3769"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 </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Yüzde 20 En Yoksul</w:t>
            </w:r>
          </w:p>
        </w:tc>
        <w:tc>
          <w:tcPr>
            <w:tcW w:w="3769"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11,4%</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Yüzde 20</w:t>
            </w:r>
          </w:p>
        </w:tc>
        <w:tc>
          <w:tcPr>
            <w:tcW w:w="3769"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10,2%</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Yüzde 20</w:t>
            </w:r>
          </w:p>
        </w:tc>
        <w:tc>
          <w:tcPr>
            <w:tcW w:w="3769"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10,2%</w:t>
            </w:r>
          </w:p>
        </w:tc>
      </w:tr>
      <w:tr w:rsidR="009A0713" w:rsidRPr="009A0713" w:rsidTr="009A0713">
        <w:tblPrEx>
          <w:tblBorders>
            <w:top w:val="none" w:sz="0" w:space="0" w:color="auto"/>
          </w:tblBorders>
        </w:tblPrEx>
        <w:tc>
          <w:tcPr>
            <w:tcW w:w="5411"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Yüzde 20</w:t>
            </w:r>
          </w:p>
        </w:tc>
        <w:tc>
          <w:tcPr>
            <w:tcW w:w="3769" w:type="dxa"/>
            <w:tcBorders>
              <w:top w:val="single" w:sz="8" w:space="0" w:color="000000"/>
              <w:left w:val="single" w:sz="8" w:space="0" w:color="000000"/>
              <w:bottom w:val="single" w:sz="8" w:space="0" w:color="000000"/>
              <w:right w:val="single" w:sz="8" w:space="0" w:color="000000"/>
            </w:tcBorders>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10,2%</w:t>
            </w:r>
          </w:p>
        </w:tc>
      </w:tr>
      <w:tr w:rsidR="009A0713" w:rsidRPr="009A0713" w:rsidTr="009A0713">
        <w:tc>
          <w:tcPr>
            <w:tcW w:w="5411"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rPr>
                <w:rFonts w:asciiTheme="majorHAnsi" w:hAnsiTheme="majorHAnsi" w:cs="Arial"/>
                <w:color w:val="000000"/>
                <w:lang w:val="tr-TR"/>
              </w:rPr>
            </w:pPr>
            <w:r w:rsidRPr="009A0713">
              <w:rPr>
                <w:rFonts w:asciiTheme="majorHAnsi" w:hAnsiTheme="majorHAnsi" w:cs="Arial"/>
                <w:color w:val="000000"/>
                <w:lang w:val="tr-TR"/>
              </w:rPr>
              <w:t>Yüzde 20 En Zengin</w:t>
            </w:r>
          </w:p>
        </w:tc>
        <w:tc>
          <w:tcPr>
            <w:tcW w:w="3769" w:type="dxa"/>
            <w:tcBorders>
              <w:top w:val="single" w:sz="8" w:space="0" w:color="000000"/>
              <w:left w:val="single" w:sz="8" w:space="0" w:color="000000"/>
              <w:bottom w:val="single" w:sz="8" w:space="0" w:color="000000"/>
              <w:right w:val="single" w:sz="8" w:space="0" w:color="000000"/>
            </w:tcBorders>
            <w:shd w:val="clear" w:color="auto" w:fill="D4E0ED"/>
            <w:vAlign w:val="bottom"/>
          </w:tcPr>
          <w:p w:rsidR="009A0713" w:rsidRPr="009A0713" w:rsidRDefault="009A0713" w:rsidP="009A0713">
            <w:pPr>
              <w:autoSpaceDE w:val="0"/>
              <w:autoSpaceDN w:val="0"/>
              <w:adjustRightInd w:val="0"/>
              <w:spacing w:after="0" w:line="240" w:lineRule="auto"/>
              <w:jc w:val="right"/>
              <w:rPr>
                <w:rFonts w:asciiTheme="majorHAnsi" w:hAnsiTheme="majorHAnsi" w:cs="Arial"/>
                <w:color w:val="000000"/>
                <w:lang w:val="tr-TR"/>
              </w:rPr>
            </w:pPr>
            <w:r w:rsidRPr="009A0713">
              <w:rPr>
                <w:rFonts w:asciiTheme="majorHAnsi" w:hAnsiTheme="majorHAnsi" w:cs="Arial"/>
                <w:color w:val="000000"/>
                <w:lang w:val="tr-TR"/>
              </w:rPr>
              <w:t>6,8%</w:t>
            </w:r>
          </w:p>
        </w:tc>
      </w:tr>
    </w:tbl>
    <w:p w:rsidR="009A0713" w:rsidRPr="009A0713" w:rsidRDefault="009A0713" w:rsidP="009A0713">
      <w:pPr>
        <w:spacing w:after="0" w:line="240" w:lineRule="auto"/>
        <w:jc w:val="both"/>
        <w:rPr>
          <w:rStyle w:val="apple-style-span"/>
          <w:rFonts w:asciiTheme="majorHAnsi" w:hAnsiTheme="majorHAnsi"/>
          <w:color w:val="000000"/>
          <w:shd w:val="clear" w:color="auto" w:fill="FFFFFF"/>
          <w:lang w:val="tr-TR"/>
        </w:rPr>
      </w:pPr>
    </w:p>
    <w:p w:rsidR="009A0713" w:rsidRPr="009A0713" w:rsidRDefault="009A0713" w:rsidP="009A0713">
      <w:pPr>
        <w:spacing w:after="0" w:line="240" w:lineRule="auto"/>
        <w:jc w:val="both"/>
        <w:rPr>
          <w:rStyle w:val="apple-style-span"/>
          <w:rFonts w:ascii="Arial Narrow" w:hAnsi="Arial Narrow"/>
          <w:b/>
          <w:color w:val="000000"/>
          <w:shd w:val="clear" w:color="auto" w:fill="FFFFFF"/>
          <w:lang w:val="tr-TR"/>
        </w:rPr>
      </w:pPr>
      <w:r w:rsidRPr="009A0713">
        <w:rPr>
          <w:rStyle w:val="apple-style-span"/>
          <w:rFonts w:ascii="Arial Narrow" w:hAnsi="Arial Narrow"/>
          <w:b/>
          <w:color w:val="000000"/>
          <w:shd w:val="clear" w:color="auto" w:fill="FFFFFF"/>
          <w:lang w:val="tr-TR"/>
        </w:rPr>
        <w:t xml:space="preserve">Grafik 1- Seçilmiş gruplara göre AKP döneminde gizli yoksullaşma oranları </w:t>
      </w:r>
    </w:p>
    <w:p w:rsidR="009A0713" w:rsidRPr="009A0713" w:rsidRDefault="009A0713" w:rsidP="009A0713">
      <w:pPr>
        <w:spacing w:after="0" w:line="240" w:lineRule="auto"/>
        <w:jc w:val="both"/>
        <w:rPr>
          <w:rStyle w:val="apple-style-span"/>
          <w:rFonts w:asciiTheme="majorHAnsi" w:hAnsiTheme="majorHAnsi"/>
          <w:color w:val="000000"/>
          <w:shd w:val="clear" w:color="auto" w:fill="FFFFFF"/>
          <w:lang w:val="tr-TR"/>
        </w:rPr>
      </w:pPr>
      <w:r w:rsidRPr="009A0713">
        <w:rPr>
          <w:rFonts w:asciiTheme="majorHAnsi" w:hAnsiTheme="majorHAnsi"/>
          <w:noProof/>
          <w:lang w:val="tr-TR" w:eastAsia="tr-TR"/>
        </w:rPr>
        <w:drawing>
          <wp:inline distT="0" distB="0" distL="0" distR="0" wp14:anchorId="2943E532" wp14:editId="2CBC8928">
            <wp:extent cx="5010150" cy="3394210"/>
            <wp:effectExtent l="0" t="0" r="0" b="15875"/>
            <wp:docPr id="1" name="Grafik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A8648B-9098-1D4F-9EE7-0973459A3C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20E11" w:rsidRPr="007B360D" w:rsidRDefault="00F20E11" w:rsidP="009A0713">
      <w:pPr>
        <w:spacing w:before="240"/>
        <w:rPr>
          <w:rFonts w:asciiTheme="majorHAnsi" w:hAnsiTheme="majorHAnsi"/>
          <w:sz w:val="24"/>
          <w:szCs w:val="24"/>
          <w:lang w:val="tr-TR"/>
        </w:rPr>
      </w:pPr>
    </w:p>
    <w:sectPr w:rsidR="00F20E11" w:rsidRPr="007B360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D246B5B"/>
    <w:multiLevelType w:val="hybridMultilevel"/>
    <w:tmpl w:val="9F400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4"/>
  </w:num>
  <w:num w:numId="5">
    <w:abstractNumId w:val="11"/>
  </w:num>
  <w:num w:numId="6">
    <w:abstractNumId w:val="0"/>
  </w:num>
  <w:num w:numId="7">
    <w:abstractNumId w:val="5"/>
  </w:num>
  <w:num w:numId="8">
    <w:abstractNumId w:val="7"/>
  </w:num>
  <w:num w:numId="9">
    <w:abstractNumId w:val="15"/>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 w:numId="18">
    <w:abstractNumId w:val="13"/>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10A4"/>
    <w:rsid w:val="00005CAA"/>
    <w:rsid w:val="00006F68"/>
    <w:rsid w:val="00015C1C"/>
    <w:rsid w:val="00017C81"/>
    <w:rsid w:val="00023D18"/>
    <w:rsid w:val="00035EF6"/>
    <w:rsid w:val="000435F1"/>
    <w:rsid w:val="00054FDB"/>
    <w:rsid w:val="0005581B"/>
    <w:rsid w:val="0006161E"/>
    <w:rsid w:val="000836FD"/>
    <w:rsid w:val="00091618"/>
    <w:rsid w:val="00096E88"/>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06A"/>
    <w:rsid w:val="001A324E"/>
    <w:rsid w:val="001A6BCD"/>
    <w:rsid w:val="001C22E1"/>
    <w:rsid w:val="001D3EDA"/>
    <w:rsid w:val="001D4B37"/>
    <w:rsid w:val="001D6903"/>
    <w:rsid w:val="001E10CF"/>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2CBC"/>
    <w:rsid w:val="00274427"/>
    <w:rsid w:val="0028022B"/>
    <w:rsid w:val="0028189C"/>
    <w:rsid w:val="00284A66"/>
    <w:rsid w:val="002B2409"/>
    <w:rsid w:val="002B5FE0"/>
    <w:rsid w:val="002C3950"/>
    <w:rsid w:val="002C692D"/>
    <w:rsid w:val="002D19EC"/>
    <w:rsid w:val="002D1ED7"/>
    <w:rsid w:val="002E5BE9"/>
    <w:rsid w:val="002E7263"/>
    <w:rsid w:val="002F3F3A"/>
    <w:rsid w:val="0031044E"/>
    <w:rsid w:val="0031119C"/>
    <w:rsid w:val="00311CBD"/>
    <w:rsid w:val="00314536"/>
    <w:rsid w:val="00315E84"/>
    <w:rsid w:val="00321121"/>
    <w:rsid w:val="003273BC"/>
    <w:rsid w:val="003346EE"/>
    <w:rsid w:val="00335A76"/>
    <w:rsid w:val="003370DB"/>
    <w:rsid w:val="00341605"/>
    <w:rsid w:val="00344814"/>
    <w:rsid w:val="003657EB"/>
    <w:rsid w:val="00367DDD"/>
    <w:rsid w:val="003730CD"/>
    <w:rsid w:val="003808FF"/>
    <w:rsid w:val="0038139B"/>
    <w:rsid w:val="00381C50"/>
    <w:rsid w:val="00390317"/>
    <w:rsid w:val="00393557"/>
    <w:rsid w:val="00395BC8"/>
    <w:rsid w:val="003A38F3"/>
    <w:rsid w:val="003A552A"/>
    <w:rsid w:val="003B0A88"/>
    <w:rsid w:val="003B2949"/>
    <w:rsid w:val="003B64E0"/>
    <w:rsid w:val="003B6B32"/>
    <w:rsid w:val="003C28A9"/>
    <w:rsid w:val="003D0B97"/>
    <w:rsid w:val="003E443F"/>
    <w:rsid w:val="003E62BE"/>
    <w:rsid w:val="003F2A33"/>
    <w:rsid w:val="003F4733"/>
    <w:rsid w:val="00403BF0"/>
    <w:rsid w:val="004046F3"/>
    <w:rsid w:val="004151D6"/>
    <w:rsid w:val="00416032"/>
    <w:rsid w:val="00417DA6"/>
    <w:rsid w:val="0044183C"/>
    <w:rsid w:val="004436B3"/>
    <w:rsid w:val="00444601"/>
    <w:rsid w:val="0044787D"/>
    <w:rsid w:val="004518B2"/>
    <w:rsid w:val="004538D8"/>
    <w:rsid w:val="00462097"/>
    <w:rsid w:val="00465623"/>
    <w:rsid w:val="00476AE2"/>
    <w:rsid w:val="004833FB"/>
    <w:rsid w:val="00484FD3"/>
    <w:rsid w:val="00492C98"/>
    <w:rsid w:val="00492CC1"/>
    <w:rsid w:val="00496E65"/>
    <w:rsid w:val="00497A55"/>
    <w:rsid w:val="004C2F5C"/>
    <w:rsid w:val="004C46F3"/>
    <w:rsid w:val="004D180E"/>
    <w:rsid w:val="004D34BB"/>
    <w:rsid w:val="004E088B"/>
    <w:rsid w:val="004F111B"/>
    <w:rsid w:val="004F5B42"/>
    <w:rsid w:val="005019E8"/>
    <w:rsid w:val="005134AD"/>
    <w:rsid w:val="0051441A"/>
    <w:rsid w:val="00521115"/>
    <w:rsid w:val="00524D59"/>
    <w:rsid w:val="00536EF3"/>
    <w:rsid w:val="00544D86"/>
    <w:rsid w:val="00547B9D"/>
    <w:rsid w:val="0056000D"/>
    <w:rsid w:val="00560C5F"/>
    <w:rsid w:val="00571C0D"/>
    <w:rsid w:val="00573DC0"/>
    <w:rsid w:val="00583CF6"/>
    <w:rsid w:val="005843A4"/>
    <w:rsid w:val="005B363E"/>
    <w:rsid w:val="005F553C"/>
    <w:rsid w:val="005F64A6"/>
    <w:rsid w:val="00613254"/>
    <w:rsid w:val="006164CB"/>
    <w:rsid w:val="00616B5F"/>
    <w:rsid w:val="006262C1"/>
    <w:rsid w:val="00631AE8"/>
    <w:rsid w:val="00635561"/>
    <w:rsid w:val="00636AD8"/>
    <w:rsid w:val="00641B3C"/>
    <w:rsid w:val="00647839"/>
    <w:rsid w:val="0066454F"/>
    <w:rsid w:val="00665685"/>
    <w:rsid w:val="00665EED"/>
    <w:rsid w:val="0067487F"/>
    <w:rsid w:val="006756EC"/>
    <w:rsid w:val="00684E1C"/>
    <w:rsid w:val="00694DDB"/>
    <w:rsid w:val="006976A9"/>
    <w:rsid w:val="006B359D"/>
    <w:rsid w:val="006B3645"/>
    <w:rsid w:val="006C2E74"/>
    <w:rsid w:val="006C5AED"/>
    <w:rsid w:val="006C5B3F"/>
    <w:rsid w:val="006C6592"/>
    <w:rsid w:val="006C74FD"/>
    <w:rsid w:val="006D3F42"/>
    <w:rsid w:val="006E6D46"/>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6199D"/>
    <w:rsid w:val="007819F3"/>
    <w:rsid w:val="00793FB7"/>
    <w:rsid w:val="007975FA"/>
    <w:rsid w:val="007A33A2"/>
    <w:rsid w:val="007B360D"/>
    <w:rsid w:val="007C2EE4"/>
    <w:rsid w:val="007C37EB"/>
    <w:rsid w:val="007C6D02"/>
    <w:rsid w:val="007C7FE2"/>
    <w:rsid w:val="007E1C2E"/>
    <w:rsid w:val="007E6C1A"/>
    <w:rsid w:val="007F4117"/>
    <w:rsid w:val="008022DC"/>
    <w:rsid w:val="00815A4E"/>
    <w:rsid w:val="00826195"/>
    <w:rsid w:val="008331A6"/>
    <w:rsid w:val="00874B60"/>
    <w:rsid w:val="0088474B"/>
    <w:rsid w:val="00884905"/>
    <w:rsid w:val="008979A4"/>
    <w:rsid w:val="00897B20"/>
    <w:rsid w:val="008A508F"/>
    <w:rsid w:val="008A6420"/>
    <w:rsid w:val="008A6BCC"/>
    <w:rsid w:val="008B05B5"/>
    <w:rsid w:val="008B78B8"/>
    <w:rsid w:val="008D32D9"/>
    <w:rsid w:val="008E2533"/>
    <w:rsid w:val="008F1E70"/>
    <w:rsid w:val="00911198"/>
    <w:rsid w:val="0091585E"/>
    <w:rsid w:val="00915A92"/>
    <w:rsid w:val="0092001C"/>
    <w:rsid w:val="00920903"/>
    <w:rsid w:val="00934479"/>
    <w:rsid w:val="0093747B"/>
    <w:rsid w:val="009423F5"/>
    <w:rsid w:val="00942825"/>
    <w:rsid w:val="00947D29"/>
    <w:rsid w:val="00951D3A"/>
    <w:rsid w:val="00953B9E"/>
    <w:rsid w:val="00956A33"/>
    <w:rsid w:val="00967924"/>
    <w:rsid w:val="00970A06"/>
    <w:rsid w:val="00983F9D"/>
    <w:rsid w:val="00986C4E"/>
    <w:rsid w:val="00995002"/>
    <w:rsid w:val="009A0713"/>
    <w:rsid w:val="009A117B"/>
    <w:rsid w:val="009A764B"/>
    <w:rsid w:val="009C0C85"/>
    <w:rsid w:val="009E034F"/>
    <w:rsid w:val="009E11A1"/>
    <w:rsid w:val="009E5348"/>
    <w:rsid w:val="009F1DF3"/>
    <w:rsid w:val="00A10313"/>
    <w:rsid w:val="00A12AAD"/>
    <w:rsid w:val="00A14053"/>
    <w:rsid w:val="00A1703B"/>
    <w:rsid w:val="00A24800"/>
    <w:rsid w:val="00A35B7F"/>
    <w:rsid w:val="00A4730E"/>
    <w:rsid w:val="00A5368A"/>
    <w:rsid w:val="00A54A80"/>
    <w:rsid w:val="00A5693D"/>
    <w:rsid w:val="00A5775B"/>
    <w:rsid w:val="00A57AA7"/>
    <w:rsid w:val="00A67A44"/>
    <w:rsid w:val="00A76DEE"/>
    <w:rsid w:val="00A80143"/>
    <w:rsid w:val="00A834E2"/>
    <w:rsid w:val="00A94368"/>
    <w:rsid w:val="00AA6479"/>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822B5"/>
    <w:rsid w:val="00B82F9B"/>
    <w:rsid w:val="00B836EB"/>
    <w:rsid w:val="00BB0208"/>
    <w:rsid w:val="00BC1515"/>
    <w:rsid w:val="00BC19CF"/>
    <w:rsid w:val="00BC3611"/>
    <w:rsid w:val="00BD19F0"/>
    <w:rsid w:val="00BD5B11"/>
    <w:rsid w:val="00BD5F66"/>
    <w:rsid w:val="00BD62F5"/>
    <w:rsid w:val="00BD6A01"/>
    <w:rsid w:val="00BE43FD"/>
    <w:rsid w:val="00BE6D99"/>
    <w:rsid w:val="00C002DD"/>
    <w:rsid w:val="00C035C1"/>
    <w:rsid w:val="00C042E4"/>
    <w:rsid w:val="00C048B6"/>
    <w:rsid w:val="00C04E7F"/>
    <w:rsid w:val="00C138D6"/>
    <w:rsid w:val="00C1557C"/>
    <w:rsid w:val="00C160B2"/>
    <w:rsid w:val="00C2701A"/>
    <w:rsid w:val="00C341C5"/>
    <w:rsid w:val="00C40D67"/>
    <w:rsid w:val="00C4269E"/>
    <w:rsid w:val="00C448B8"/>
    <w:rsid w:val="00C71762"/>
    <w:rsid w:val="00C71E63"/>
    <w:rsid w:val="00C83C16"/>
    <w:rsid w:val="00C92532"/>
    <w:rsid w:val="00CB47FD"/>
    <w:rsid w:val="00CC0DE4"/>
    <w:rsid w:val="00CD20DD"/>
    <w:rsid w:val="00CD2E6B"/>
    <w:rsid w:val="00CD3C8E"/>
    <w:rsid w:val="00CE0B7E"/>
    <w:rsid w:val="00CE36C3"/>
    <w:rsid w:val="00CF64F2"/>
    <w:rsid w:val="00CF6EBB"/>
    <w:rsid w:val="00D0733F"/>
    <w:rsid w:val="00D14147"/>
    <w:rsid w:val="00D37095"/>
    <w:rsid w:val="00D404A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DF5B77"/>
    <w:rsid w:val="00E04C7C"/>
    <w:rsid w:val="00E07047"/>
    <w:rsid w:val="00E23C54"/>
    <w:rsid w:val="00E30D77"/>
    <w:rsid w:val="00E32262"/>
    <w:rsid w:val="00E4170C"/>
    <w:rsid w:val="00E50BF2"/>
    <w:rsid w:val="00E613B8"/>
    <w:rsid w:val="00E64069"/>
    <w:rsid w:val="00E940A8"/>
    <w:rsid w:val="00E97808"/>
    <w:rsid w:val="00EA2521"/>
    <w:rsid w:val="00EB33D4"/>
    <w:rsid w:val="00EB4CDB"/>
    <w:rsid w:val="00EB67A6"/>
    <w:rsid w:val="00EC13D9"/>
    <w:rsid w:val="00EC378A"/>
    <w:rsid w:val="00ED4049"/>
    <w:rsid w:val="00ED74CB"/>
    <w:rsid w:val="00EE3DE9"/>
    <w:rsid w:val="00EE6535"/>
    <w:rsid w:val="00EF1FC3"/>
    <w:rsid w:val="00F01B8D"/>
    <w:rsid w:val="00F0720F"/>
    <w:rsid w:val="00F11733"/>
    <w:rsid w:val="00F1256E"/>
    <w:rsid w:val="00F13849"/>
    <w:rsid w:val="00F20E11"/>
    <w:rsid w:val="00F21BF7"/>
    <w:rsid w:val="00F21D10"/>
    <w:rsid w:val="00F30BDA"/>
    <w:rsid w:val="00F37C37"/>
    <w:rsid w:val="00F400D8"/>
    <w:rsid w:val="00F57296"/>
    <w:rsid w:val="00F72910"/>
    <w:rsid w:val="00F83692"/>
    <w:rsid w:val="00F878BD"/>
    <w:rsid w:val="00F934C7"/>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77645-2369-4C2F-9B88-5DDD7492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265582278">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042166891">
      <w:bodyDiv w:val="1"/>
      <w:marLeft w:val="0"/>
      <w:marRight w:val="0"/>
      <w:marTop w:val="0"/>
      <w:marBottom w:val="0"/>
      <w:divBdr>
        <w:top w:val="none" w:sz="0" w:space="0" w:color="auto"/>
        <w:left w:val="none" w:sz="0" w:space="0" w:color="auto"/>
        <w:bottom w:val="none" w:sz="0" w:space="0" w:color="auto"/>
        <w:right w:val="none" w:sz="0" w:space="0" w:color="auto"/>
      </w:divBdr>
    </w:div>
    <w:div w:id="1160803585">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333333285">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39026267">
      <w:bodyDiv w:val="1"/>
      <w:marLeft w:val="0"/>
      <w:marRight w:val="0"/>
      <w:marTop w:val="0"/>
      <w:marBottom w:val="0"/>
      <w:divBdr>
        <w:top w:val="none" w:sz="0" w:space="0" w:color="auto"/>
        <w:left w:val="none" w:sz="0" w:space="0" w:color="auto"/>
        <w:bottom w:val="none" w:sz="0" w:space="0" w:color="auto"/>
        <w:right w:val="none" w:sz="0" w:space="0" w:color="auto"/>
      </w:divBdr>
      <w:divsChild>
        <w:div w:id="672496375">
          <w:marLeft w:val="0"/>
          <w:marRight w:val="0"/>
          <w:marTop w:val="0"/>
          <w:marBottom w:val="0"/>
          <w:divBdr>
            <w:top w:val="none" w:sz="0" w:space="0" w:color="auto"/>
            <w:left w:val="none" w:sz="0" w:space="0" w:color="auto"/>
            <w:bottom w:val="none" w:sz="0" w:space="0" w:color="auto"/>
            <w:right w:val="none" w:sz="0" w:space="0" w:color="auto"/>
          </w:divBdr>
          <w:divsChild>
            <w:div w:id="20074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benerci75\Desktop\ENFKALIPS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4377859279188197E-5"/>
          <c:y val="0"/>
          <c:w val="0.9555555555555556"/>
          <c:h val="0.87773531193216237"/>
        </c:manualLayout>
      </c:layout>
      <c:barChart>
        <c:barDir val="col"/>
        <c:grouping val="clustered"/>
        <c:varyColors val="0"/>
        <c:ser>
          <c:idx val="0"/>
          <c:order val="0"/>
          <c:spPr>
            <a:gradFill rotWithShape="0">
              <a:gsLst>
                <a:gs pos="0">
                  <a:srgbClr val="4F81BD"/>
                </a:gs>
                <a:gs pos="100000">
                  <a:srgbClr val="3D6CA4"/>
                </a:gs>
              </a:gsLst>
              <a:lin ang="5400000" scaled="1"/>
            </a:gradFill>
            <a:ln w="25400">
              <a:noFill/>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1" i="0" u="none" strike="noStrike" baseline="0">
                    <a:solidFill>
                      <a:srgbClr val="FFFFFF"/>
                    </a:solidFill>
                    <a:latin typeface="Calibri"/>
                    <a:ea typeface="Calibri"/>
                    <a:cs typeface="Calibri"/>
                  </a:defRPr>
                </a:pPr>
                <a:endParaRPr lang="tr-T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Sonuçlar!$J$159:$J$164</c:f>
              <c:strCache>
                <c:ptCount val="6"/>
                <c:pt idx="0">
                  <c:v> Ücretsiz Aile İşçileri</c:v>
                </c:pt>
                <c:pt idx="1">
                  <c:v> İşverenler</c:v>
                </c:pt>
                <c:pt idx="2">
                  <c:v> Kendi Hesabına Çalışanlar</c:v>
                </c:pt>
                <c:pt idx="3">
                  <c:v> Düzenli Ücretli Çalışanlar</c:v>
                </c:pt>
                <c:pt idx="4">
                  <c:v> Çalışmayanlar</c:v>
                </c:pt>
                <c:pt idx="5">
                  <c:v> Yevmiyeli Gündelik Çalışanlar</c:v>
                </c:pt>
              </c:strCache>
            </c:strRef>
          </c:cat>
          <c:val>
            <c:numRef>
              <c:f>Sonuçlar!$K$159:$K$164</c:f>
              <c:numCache>
                <c:formatCode>0.0%</c:formatCode>
                <c:ptCount val="6"/>
                <c:pt idx="0">
                  <c:v>6.555320435110823E-2</c:v>
                </c:pt>
                <c:pt idx="1">
                  <c:v>6.7469753193909687E-2</c:v>
                </c:pt>
                <c:pt idx="2">
                  <c:v>7.914320952783882E-2</c:v>
                </c:pt>
                <c:pt idx="3">
                  <c:v>8.2624930152624954E-2</c:v>
                </c:pt>
                <c:pt idx="4">
                  <c:v>0.10358970536759804</c:v>
                </c:pt>
                <c:pt idx="5">
                  <c:v>0.13014557309354213</c:v>
                </c:pt>
              </c:numCache>
            </c:numRef>
          </c:val>
          <c:extLst xmlns:c16r2="http://schemas.microsoft.com/office/drawing/2015/06/chart">
            <c:ext xmlns:c16="http://schemas.microsoft.com/office/drawing/2014/chart" uri="{C3380CC4-5D6E-409C-BE32-E72D297353CC}">
              <c16:uniqueId val="{00000000-8FC4-9942-8254-E17CF17341E9}"/>
            </c:ext>
          </c:extLst>
        </c:ser>
        <c:dLbls>
          <c:showLegendKey val="0"/>
          <c:showVal val="0"/>
          <c:showCatName val="0"/>
          <c:showSerName val="0"/>
          <c:showPercent val="0"/>
          <c:showBubbleSize val="0"/>
        </c:dLbls>
        <c:gapWidth val="41"/>
        <c:axId val="352474200"/>
        <c:axId val="167352776"/>
      </c:barChart>
      <c:catAx>
        <c:axId val="352474200"/>
        <c:scaling>
          <c:orientation val="minMax"/>
        </c:scaling>
        <c:delete val="0"/>
        <c:axPos val="b"/>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tr-TR"/>
          </a:p>
        </c:txPr>
        <c:crossAx val="167352776"/>
        <c:crosses val="autoZero"/>
        <c:auto val="1"/>
        <c:lblAlgn val="ctr"/>
        <c:lblOffset val="100"/>
        <c:noMultiLvlLbl val="0"/>
      </c:catAx>
      <c:valAx>
        <c:axId val="167352776"/>
        <c:scaling>
          <c:orientation val="minMax"/>
        </c:scaling>
        <c:delete val="1"/>
        <c:axPos val="l"/>
        <c:numFmt formatCode="0.0%" sourceLinked="1"/>
        <c:majorTickMark val="out"/>
        <c:minorTickMark val="none"/>
        <c:tickLblPos val="nextTo"/>
        <c:crossAx val="352474200"/>
        <c:crosses val="autoZero"/>
        <c:crossBetween val="between"/>
      </c:valAx>
      <c:spPr>
        <a:noFill/>
        <a:ln w="25400">
          <a:noFill/>
        </a:ln>
      </c:spPr>
    </c:plotArea>
    <c:plotVisOnly val="1"/>
    <c:dispBlanksAs val="gap"/>
    <c:showDLblsOverMax val="0"/>
  </c:chart>
  <c:spPr>
    <a:noFill/>
    <a:ln w="3175">
      <a:solidFill>
        <a:srgbClr val="C0C0C0"/>
      </a:solidFill>
      <a:prstDash val="solid"/>
    </a:ln>
  </c:spPr>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D1CE6-DADB-42E3-88B3-EA684D2F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1047</Words>
  <Characters>5970</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3</cp:revision>
  <cp:lastPrinted>2018-02-02T10:56:00Z</cp:lastPrinted>
  <dcterms:created xsi:type="dcterms:W3CDTF">2018-03-05T11:48:00Z</dcterms:created>
  <dcterms:modified xsi:type="dcterms:W3CDTF">2018-03-05T11:52:00Z</dcterms:modified>
</cp:coreProperties>
</file>